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BFFE0" w14:textId="4EEB6F9D" w:rsidR="007808DB" w:rsidRPr="00E56F51" w:rsidRDefault="00F94F52" w:rsidP="00F94F52">
      <w:pPr>
        <w:jc w:val="center"/>
        <w:rPr>
          <w:rFonts w:ascii="Calibri" w:hAnsi="Calibri" w:cs="Calibri"/>
          <w:b/>
          <w:bCs/>
          <w:sz w:val="24"/>
          <w:szCs w:val="24"/>
          <w:u w:val="single"/>
          <w:lang w:val="en-US"/>
        </w:rPr>
      </w:pPr>
      <w:r w:rsidRPr="00E56F51">
        <w:rPr>
          <w:rFonts w:ascii="Calibri" w:hAnsi="Calibri" w:cs="Calibri"/>
          <w:b/>
          <w:bCs/>
          <w:sz w:val="24"/>
          <w:szCs w:val="24"/>
          <w:u w:val="single"/>
          <w:lang w:val="en-US"/>
        </w:rPr>
        <w:t>New requirements in A</w:t>
      </w:r>
      <w:r w:rsidR="0063501E" w:rsidRPr="00E56F51">
        <w:rPr>
          <w:rFonts w:ascii="Calibri" w:hAnsi="Calibri" w:cs="Calibri"/>
          <w:b/>
          <w:bCs/>
          <w:sz w:val="24"/>
          <w:szCs w:val="24"/>
          <w:u w:val="single"/>
          <w:lang w:val="en-US"/>
        </w:rPr>
        <w:t>DR 2025</w:t>
      </w:r>
      <w:r w:rsidR="00F252D1" w:rsidRPr="00E56F51">
        <w:rPr>
          <w:rFonts w:ascii="Calibri" w:hAnsi="Calibri" w:cs="Calibri"/>
          <w:b/>
          <w:bCs/>
          <w:sz w:val="24"/>
          <w:szCs w:val="24"/>
          <w:u w:val="single"/>
          <w:lang w:val="en-US"/>
        </w:rPr>
        <w:t xml:space="preserve"> relating to the carriage of UN </w:t>
      </w:r>
      <w:r w:rsidR="00F252D1" w:rsidRPr="00E56F51">
        <w:rPr>
          <w:rFonts w:ascii="Calibri" w:hAnsi="Calibri" w:cs="Calibri"/>
          <w:b/>
          <w:bCs/>
          <w:sz w:val="24"/>
          <w:szCs w:val="24"/>
          <w:u w:val="single"/>
        </w:rPr>
        <w:t>2212 and UN 2590</w:t>
      </w:r>
      <w:r w:rsidR="0063501E" w:rsidRPr="00E56F51">
        <w:rPr>
          <w:rFonts w:ascii="Calibri" w:hAnsi="Calibri" w:cs="Calibri"/>
          <w:b/>
          <w:bCs/>
          <w:sz w:val="24"/>
          <w:szCs w:val="24"/>
          <w:u w:val="single"/>
          <w:lang w:val="en-US"/>
        </w:rPr>
        <w:t>.</w:t>
      </w:r>
    </w:p>
    <w:p w14:paraId="01B43E0A" w14:textId="173B6089" w:rsidR="003F6C44" w:rsidRPr="00E56F51" w:rsidRDefault="00F94F52" w:rsidP="00F94F52">
      <w:pPr>
        <w:jc w:val="center"/>
        <w:rPr>
          <w:rFonts w:ascii="Calibri" w:hAnsi="Calibri" w:cs="Calibri"/>
          <w:sz w:val="16"/>
          <w:szCs w:val="16"/>
        </w:rPr>
      </w:pPr>
      <w:r w:rsidRPr="00E56F51">
        <w:rPr>
          <w:rFonts w:ascii="Calibri" w:hAnsi="Calibri" w:cs="Calibri"/>
          <w:sz w:val="16"/>
          <w:szCs w:val="16"/>
        </w:rPr>
        <w:t>(</w:t>
      </w:r>
      <w:r w:rsidR="003F6C44" w:rsidRPr="00E56F51">
        <w:rPr>
          <w:rFonts w:ascii="Calibri" w:hAnsi="Calibri" w:cs="Calibri"/>
          <w:sz w:val="16"/>
          <w:szCs w:val="16"/>
        </w:rPr>
        <w:t>Reference documents: ECE/TRANS/WP.15/265, ECE/TRANS/WP.15/265/Corr.1, ECE/TRANS/WP.15/265/Add.1</w:t>
      </w:r>
      <w:r w:rsidRPr="00E56F51">
        <w:rPr>
          <w:rFonts w:ascii="Calibri" w:hAnsi="Calibri" w:cs="Calibri"/>
          <w:sz w:val="16"/>
          <w:szCs w:val="16"/>
        </w:rPr>
        <w:t>)</w:t>
      </w:r>
    </w:p>
    <w:p w14:paraId="0CF6C584" w14:textId="77777777" w:rsidR="0024524B" w:rsidRDefault="0024524B">
      <w:pPr>
        <w:rPr>
          <w:rFonts w:ascii="Calibri" w:hAnsi="Calibri" w:cs="Calibri"/>
        </w:rPr>
      </w:pPr>
    </w:p>
    <w:p w14:paraId="1A90F8BB" w14:textId="36CA60F7" w:rsidR="00F94F52" w:rsidRPr="00E56F51" w:rsidRDefault="00F94F52">
      <w:pPr>
        <w:rPr>
          <w:rFonts w:ascii="Calibri" w:hAnsi="Calibri" w:cs="Calibri"/>
        </w:rPr>
      </w:pPr>
      <w:r w:rsidRPr="00E56F51">
        <w:rPr>
          <w:rFonts w:ascii="Calibri" w:hAnsi="Calibri" w:cs="Calibri"/>
        </w:rPr>
        <w:t>For ADR 2025, the entries in Dangerous Goods List (table A in chapter 3.2) f</w:t>
      </w:r>
      <w:r w:rsidR="003F6C44" w:rsidRPr="00E56F51">
        <w:rPr>
          <w:rFonts w:ascii="Calibri" w:hAnsi="Calibri" w:cs="Calibri"/>
        </w:rPr>
        <w:t xml:space="preserve">or UN 2212 </w:t>
      </w:r>
      <w:r w:rsidR="00742B4C" w:rsidRPr="00E56F51">
        <w:rPr>
          <w:rFonts w:ascii="Calibri" w:hAnsi="Calibri" w:cs="Calibri"/>
        </w:rPr>
        <w:t xml:space="preserve">(ASBESTOS, AMPHIBOLE) </w:t>
      </w:r>
      <w:r w:rsidR="003F6C44" w:rsidRPr="00E56F51">
        <w:rPr>
          <w:rFonts w:ascii="Calibri" w:hAnsi="Calibri" w:cs="Calibri"/>
        </w:rPr>
        <w:t xml:space="preserve">and </w:t>
      </w:r>
      <w:r w:rsidR="00F252D1" w:rsidRPr="00E56F51">
        <w:rPr>
          <w:rFonts w:ascii="Calibri" w:hAnsi="Calibri" w:cs="Calibri"/>
        </w:rPr>
        <w:t xml:space="preserve">UN </w:t>
      </w:r>
      <w:r w:rsidR="003F6C44" w:rsidRPr="00E56F51">
        <w:rPr>
          <w:rFonts w:ascii="Calibri" w:hAnsi="Calibri" w:cs="Calibri"/>
        </w:rPr>
        <w:t>2590</w:t>
      </w:r>
      <w:r w:rsidR="00742B4C" w:rsidRPr="00E56F51">
        <w:rPr>
          <w:rFonts w:ascii="Calibri" w:hAnsi="Calibri" w:cs="Calibri"/>
        </w:rPr>
        <w:t xml:space="preserve"> (ASBESTOS, CHRYSOTILE)</w:t>
      </w:r>
      <w:r w:rsidRPr="00E56F51">
        <w:rPr>
          <w:rFonts w:ascii="Calibri" w:hAnsi="Calibri" w:cs="Calibri"/>
        </w:rPr>
        <w:t xml:space="preserve"> have been updated to include the following codes: </w:t>
      </w:r>
    </w:p>
    <w:tbl>
      <w:tblPr>
        <w:tblStyle w:val="TableGrid"/>
        <w:tblW w:w="0" w:type="auto"/>
        <w:tblInd w:w="1271" w:type="dxa"/>
        <w:tblLook w:val="04A0" w:firstRow="1" w:lastRow="0" w:firstColumn="1" w:lastColumn="0" w:noHBand="0" w:noVBand="1"/>
      </w:tblPr>
      <w:tblGrid>
        <w:gridCol w:w="2977"/>
        <w:gridCol w:w="3118"/>
      </w:tblGrid>
      <w:tr w:rsidR="00E56F51" w:rsidRPr="00E56F51" w14:paraId="606BDB5A" w14:textId="77777777" w:rsidTr="0024524B">
        <w:tc>
          <w:tcPr>
            <w:tcW w:w="2977" w:type="dxa"/>
            <w:shd w:val="clear" w:color="auto" w:fill="DAE9F7" w:themeFill="text2" w:themeFillTint="1A"/>
          </w:tcPr>
          <w:p w14:paraId="4A5B6E73" w14:textId="15F59FBA" w:rsidR="00F94F52" w:rsidRPr="00E56F51" w:rsidRDefault="0024524B" w:rsidP="0024524B">
            <w:pPr>
              <w:jc w:val="center"/>
              <w:rPr>
                <w:rFonts w:ascii="Calibri" w:hAnsi="Calibri" w:cs="Calibri"/>
              </w:rPr>
            </w:pPr>
            <w:r w:rsidRPr="00E56F51">
              <w:rPr>
                <w:rFonts w:ascii="Calibri" w:hAnsi="Calibri" w:cs="Calibri"/>
              </w:rPr>
              <w:t>Column number</w:t>
            </w:r>
          </w:p>
        </w:tc>
        <w:tc>
          <w:tcPr>
            <w:tcW w:w="3118" w:type="dxa"/>
            <w:shd w:val="clear" w:color="auto" w:fill="DAE9F7" w:themeFill="text2" w:themeFillTint="1A"/>
          </w:tcPr>
          <w:p w14:paraId="30A90D31" w14:textId="7516787C" w:rsidR="00F94F52" w:rsidRPr="00E56F51" w:rsidRDefault="0024524B" w:rsidP="0024524B">
            <w:pPr>
              <w:jc w:val="center"/>
              <w:rPr>
                <w:rFonts w:ascii="Calibri" w:hAnsi="Calibri" w:cs="Calibri"/>
              </w:rPr>
            </w:pPr>
            <w:r w:rsidRPr="00E56F51">
              <w:rPr>
                <w:rFonts w:ascii="Calibri" w:hAnsi="Calibri" w:cs="Calibri"/>
              </w:rPr>
              <w:t>Codes inserted</w:t>
            </w:r>
          </w:p>
        </w:tc>
      </w:tr>
      <w:tr w:rsidR="00E56F51" w:rsidRPr="00E56F51" w14:paraId="219F448D" w14:textId="77777777" w:rsidTr="0024524B">
        <w:tc>
          <w:tcPr>
            <w:tcW w:w="2977" w:type="dxa"/>
          </w:tcPr>
          <w:p w14:paraId="256F61C0" w14:textId="07A8B1E3" w:rsidR="0024524B" w:rsidRPr="00E56F51" w:rsidRDefault="0024524B" w:rsidP="0024524B">
            <w:pPr>
              <w:jc w:val="center"/>
              <w:rPr>
                <w:rFonts w:ascii="Calibri" w:hAnsi="Calibri" w:cs="Calibri"/>
              </w:rPr>
            </w:pPr>
            <w:r w:rsidRPr="00E56F51">
              <w:rPr>
                <w:rFonts w:ascii="Calibri" w:hAnsi="Calibri" w:cs="Calibri"/>
              </w:rPr>
              <w:t>column (6)</w:t>
            </w:r>
          </w:p>
        </w:tc>
        <w:tc>
          <w:tcPr>
            <w:tcW w:w="3118" w:type="dxa"/>
          </w:tcPr>
          <w:p w14:paraId="3D05C690" w14:textId="6DBD10A0" w:rsidR="0024524B" w:rsidRPr="00E56F51" w:rsidRDefault="0024524B" w:rsidP="0024524B">
            <w:pPr>
              <w:jc w:val="center"/>
              <w:rPr>
                <w:rFonts w:ascii="Calibri" w:hAnsi="Calibri" w:cs="Calibri"/>
              </w:rPr>
            </w:pPr>
            <w:r w:rsidRPr="00E56F51">
              <w:rPr>
                <w:rFonts w:ascii="Calibri" w:hAnsi="Calibri" w:cs="Calibri"/>
              </w:rPr>
              <w:t>“678”</w:t>
            </w:r>
          </w:p>
        </w:tc>
      </w:tr>
      <w:tr w:rsidR="00E56F51" w:rsidRPr="00E56F51" w14:paraId="7BF50770" w14:textId="77777777" w:rsidTr="0024524B">
        <w:tc>
          <w:tcPr>
            <w:tcW w:w="2977" w:type="dxa"/>
          </w:tcPr>
          <w:p w14:paraId="24CB01A2" w14:textId="1A2F9269" w:rsidR="0024524B" w:rsidRPr="00E56F51" w:rsidRDefault="0024524B" w:rsidP="0024524B">
            <w:pPr>
              <w:jc w:val="center"/>
              <w:rPr>
                <w:rFonts w:ascii="Calibri" w:hAnsi="Calibri" w:cs="Calibri"/>
              </w:rPr>
            </w:pPr>
            <w:r w:rsidRPr="00E56F51">
              <w:rPr>
                <w:rFonts w:ascii="Calibri" w:hAnsi="Calibri" w:cs="Calibri"/>
              </w:rPr>
              <w:t>column (17)</w:t>
            </w:r>
          </w:p>
        </w:tc>
        <w:tc>
          <w:tcPr>
            <w:tcW w:w="3118" w:type="dxa"/>
          </w:tcPr>
          <w:p w14:paraId="1B0A79F2" w14:textId="3862B567" w:rsidR="0024524B" w:rsidRPr="00E56F51" w:rsidRDefault="0024524B" w:rsidP="0024524B">
            <w:pPr>
              <w:jc w:val="center"/>
              <w:rPr>
                <w:rFonts w:ascii="Calibri" w:hAnsi="Calibri" w:cs="Calibri"/>
              </w:rPr>
            </w:pPr>
            <w:r w:rsidRPr="00E56F51">
              <w:rPr>
                <w:rFonts w:ascii="Calibri" w:hAnsi="Calibri" w:cs="Calibri"/>
              </w:rPr>
              <w:t>“VC1”, “VC2” and “AP12”</w:t>
            </w:r>
          </w:p>
        </w:tc>
      </w:tr>
      <w:tr w:rsidR="0024524B" w:rsidRPr="00E56F51" w14:paraId="47AFF2A0" w14:textId="77777777" w:rsidTr="0024524B">
        <w:tc>
          <w:tcPr>
            <w:tcW w:w="2977" w:type="dxa"/>
          </w:tcPr>
          <w:p w14:paraId="022B3B51" w14:textId="2E2B4E76" w:rsidR="0024524B" w:rsidRPr="00E56F51" w:rsidRDefault="0024524B" w:rsidP="0024524B">
            <w:pPr>
              <w:jc w:val="center"/>
              <w:rPr>
                <w:rFonts w:ascii="Calibri" w:hAnsi="Calibri" w:cs="Calibri"/>
              </w:rPr>
            </w:pPr>
            <w:r w:rsidRPr="00E56F51">
              <w:rPr>
                <w:rFonts w:ascii="Calibri" w:hAnsi="Calibri" w:cs="Calibri"/>
              </w:rPr>
              <w:t>column (18)</w:t>
            </w:r>
          </w:p>
        </w:tc>
        <w:tc>
          <w:tcPr>
            <w:tcW w:w="3118" w:type="dxa"/>
          </w:tcPr>
          <w:p w14:paraId="4F8F4DFE" w14:textId="26FA838E" w:rsidR="0024524B" w:rsidRPr="00E56F51" w:rsidRDefault="0024524B" w:rsidP="0024524B">
            <w:pPr>
              <w:jc w:val="center"/>
              <w:rPr>
                <w:rFonts w:ascii="Calibri" w:hAnsi="Calibri" w:cs="Calibri"/>
              </w:rPr>
            </w:pPr>
            <w:r w:rsidRPr="00E56F51">
              <w:rPr>
                <w:rFonts w:ascii="Calibri" w:hAnsi="Calibri" w:cs="Calibri"/>
              </w:rPr>
              <w:t>“CV38”</w:t>
            </w:r>
          </w:p>
        </w:tc>
      </w:tr>
    </w:tbl>
    <w:p w14:paraId="4E980463" w14:textId="77777777" w:rsidR="00F94F52" w:rsidRPr="00E56F51" w:rsidRDefault="00F94F52" w:rsidP="00D37452">
      <w:pPr>
        <w:rPr>
          <w:rFonts w:ascii="Calibri" w:hAnsi="Calibri" w:cs="Calibri"/>
          <w:lang w:val="en-US"/>
        </w:rPr>
      </w:pPr>
    </w:p>
    <w:p w14:paraId="18F3E14B" w14:textId="7395A2EB" w:rsidR="0063501E" w:rsidRPr="00E56F51" w:rsidRDefault="00352DA4" w:rsidP="00D37452">
      <w:pPr>
        <w:rPr>
          <w:rFonts w:ascii="Calibri" w:hAnsi="Calibri" w:cs="Calibri"/>
          <w:lang w:val="en-US"/>
        </w:rPr>
      </w:pPr>
      <w:r w:rsidRPr="00E56F51">
        <w:rPr>
          <w:rFonts w:ascii="Calibri" w:hAnsi="Calibri" w:cs="Calibri"/>
          <w:lang w:val="en-US"/>
        </w:rPr>
        <w:t xml:space="preserve">Special provision “678” is a </w:t>
      </w:r>
      <w:r w:rsidR="00930844" w:rsidRPr="00E56F51">
        <w:rPr>
          <w:rFonts w:ascii="Calibri" w:hAnsi="Calibri" w:cs="Calibri"/>
          <w:lang w:val="en-US"/>
        </w:rPr>
        <w:t>new s</w:t>
      </w:r>
      <w:r w:rsidR="0063501E" w:rsidRPr="00E56F51">
        <w:rPr>
          <w:rFonts w:ascii="Calibri" w:hAnsi="Calibri" w:cs="Calibri"/>
          <w:lang w:val="en-US"/>
        </w:rPr>
        <w:t>pecial provision</w:t>
      </w:r>
      <w:r w:rsidRPr="00E56F51">
        <w:rPr>
          <w:rFonts w:ascii="Calibri" w:hAnsi="Calibri" w:cs="Calibri"/>
          <w:lang w:val="en-US"/>
        </w:rPr>
        <w:t xml:space="preserve"> that</w:t>
      </w:r>
      <w:r w:rsidR="00930844" w:rsidRPr="00E56F51">
        <w:rPr>
          <w:rFonts w:ascii="Calibri" w:hAnsi="Calibri" w:cs="Calibri"/>
          <w:lang w:val="en-US"/>
        </w:rPr>
        <w:t xml:space="preserve"> has </w:t>
      </w:r>
      <w:r w:rsidR="0063501E" w:rsidRPr="00E56F51">
        <w:rPr>
          <w:rFonts w:ascii="Calibri" w:hAnsi="Calibri" w:cs="Calibri"/>
          <w:lang w:val="en-US"/>
        </w:rPr>
        <w:t xml:space="preserve">been </w:t>
      </w:r>
      <w:r w:rsidR="00930844" w:rsidRPr="00E56F51">
        <w:rPr>
          <w:rFonts w:ascii="Calibri" w:hAnsi="Calibri" w:cs="Calibri"/>
          <w:lang w:val="en-US"/>
        </w:rPr>
        <w:t>added 3.3.1</w:t>
      </w:r>
      <w:r w:rsidR="002561A8" w:rsidRPr="00E56F51">
        <w:rPr>
          <w:rFonts w:ascii="Calibri" w:hAnsi="Calibri" w:cs="Calibri"/>
          <w:lang w:val="en-US"/>
        </w:rPr>
        <w:t xml:space="preserve"> of </w:t>
      </w:r>
      <w:r w:rsidR="0063501E" w:rsidRPr="00E56F51">
        <w:rPr>
          <w:rFonts w:ascii="Calibri" w:hAnsi="Calibri" w:cs="Calibri"/>
          <w:lang w:val="en-US"/>
        </w:rPr>
        <w:t>ADR:</w:t>
      </w:r>
    </w:p>
    <w:p w14:paraId="4AC74EE2" w14:textId="72E77E9F" w:rsidR="00D37452" w:rsidRPr="00E56F51" w:rsidRDefault="00D37452" w:rsidP="00F031C2">
      <w:pPr>
        <w:spacing w:after="0"/>
        <w:rPr>
          <w:rFonts w:ascii="Times New Roman" w:hAnsi="Times New Roman" w:cs="Times New Roman"/>
          <w:sz w:val="20"/>
          <w:szCs w:val="20"/>
          <w:lang w:val="en-US"/>
        </w:rPr>
      </w:pPr>
      <w:r w:rsidRPr="00E56F51">
        <w:rPr>
          <w:rFonts w:ascii="Times New Roman" w:hAnsi="Times New Roman" w:cs="Times New Roman"/>
          <w:sz w:val="20"/>
          <w:szCs w:val="20"/>
          <w:lang w:val="en-US"/>
        </w:rPr>
        <w:t xml:space="preserve">“678      </w:t>
      </w:r>
      <w:r w:rsidR="00F031C2" w:rsidRPr="00E56F51">
        <w:rPr>
          <w:rFonts w:ascii="Times New Roman" w:hAnsi="Times New Roman" w:cs="Times New Roman"/>
          <w:sz w:val="20"/>
          <w:szCs w:val="20"/>
          <w:lang w:val="en-US"/>
        </w:rPr>
        <w:tab/>
      </w:r>
      <w:r w:rsidR="00F031C2" w:rsidRPr="00E56F51">
        <w:rPr>
          <w:rFonts w:ascii="Times New Roman" w:hAnsi="Times New Roman" w:cs="Times New Roman"/>
          <w:sz w:val="20"/>
          <w:szCs w:val="20"/>
          <w:lang w:val="en-US"/>
        </w:rPr>
        <w:tab/>
      </w:r>
      <w:r w:rsidRPr="00E56F51">
        <w:rPr>
          <w:rFonts w:ascii="Times New Roman" w:hAnsi="Times New Roman" w:cs="Times New Roman"/>
          <w:sz w:val="20"/>
          <w:szCs w:val="20"/>
          <w:lang w:val="en-US"/>
        </w:rPr>
        <w:t xml:space="preserve">(a) </w:t>
      </w:r>
      <w:r w:rsidRPr="00E56F51">
        <w:rPr>
          <w:rFonts w:ascii="Times New Roman" w:hAnsi="Times New Roman" w:cs="Times New Roman"/>
          <w:sz w:val="20"/>
          <w:szCs w:val="20"/>
          <w:lang w:val="en-US"/>
        </w:rPr>
        <w:tab/>
        <w:t>The waste is carried only from the site where it is generated to a final</w:t>
      </w:r>
    </w:p>
    <w:p w14:paraId="5B2A1342" w14:textId="77777777" w:rsidR="00D37452" w:rsidRPr="00E56F51" w:rsidRDefault="00D37452" w:rsidP="00F031C2">
      <w:pPr>
        <w:spacing w:after="0"/>
        <w:ind w:left="1440" w:firstLine="720"/>
        <w:rPr>
          <w:rFonts w:ascii="Times New Roman" w:hAnsi="Times New Roman" w:cs="Times New Roman"/>
          <w:sz w:val="20"/>
          <w:szCs w:val="20"/>
          <w:lang w:val="en-US"/>
        </w:rPr>
      </w:pPr>
      <w:r w:rsidRPr="00E56F51">
        <w:rPr>
          <w:rFonts w:ascii="Times New Roman" w:hAnsi="Times New Roman" w:cs="Times New Roman"/>
          <w:sz w:val="20"/>
          <w:szCs w:val="20"/>
          <w:lang w:val="en-US"/>
        </w:rPr>
        <w:t>disposal facility. Between these two types of sites, only intermediate</w:t>
      </w:r>
    </w:p>
    <w:p w14:paraId="7831BF0A" w14:textId="77777777" w:rsidR="00D37452" w:rsidRPr="00E56F51" w:rsidRDefault="00D37452" w:rsidP="00F031C2">
      <w:pPr>
        <w:spacing w:after="0"/>
        <w:ind w:left="1440" w:firstLine="720"/>
        <w:rPr>
          <w:rFonts w:ascii="Times New Roman" w:hAnsi="Times New Roman" w:cs="Times New Roman"/>
          <w:sz w:val="20"/>
          <w:szCs w:val="20"/>
          <w:lang w:val="en-US"/>
        </w:rPr>
      </w:pPr>
      <w:r w:rsidRPr="00E56F51">
        <w:rPr>
          <w:rFonts w:ascii="Times New Roman" w:hAnsi="Times New Roman" w:cs="Times New Roman"/>
          <w:sz w:val="20"/>
          <w:szCs w:val="20"/>
          <w:lang w:val="en-US"/>
        </w:rPr>
        <w:t>storage operations, without unloading or transferring the container-bag, are</w:t>
      </w:r>
    </w:p>
    <w:p w14:paraId="277ACA56" w14:textId="77777777" w:rsidR="00D37452" w:rsidRPr="00E56F51" w:rsidRDefault="00D37452" w:rsidP="00F031C2">
      <w:pPr>
        <w:spacing w:after="0"/>
        <w:ind w:left="1440" w:firstLine="720"/>
        <w:rPr>
          <w:rFonts w:ascii="Times New Roman" w:hAnsi="Times New Roman" w:cs="Times New Roman"/>
          <w:sz w:val="20"/>
          <w:szCs w:val="20"/>
          <w:lang w:val="en-US"/>
        </w:rPr>
      </w:pPr>
      <w:proofErr w:type="gramStart"/>
      <w:r w:rsidRPr="00E56F51">
        <w:rPr>
          <w:rFonts w:ascii="Times New Roman" w:hAnsi="Times New Roman" w:cs="Times New Roman"/>
          <w:sz w:val="20"/>
          <w:szCs w:val="20"/>
          <w:lang w:val="en-US"/>
        </w:rPr>
        <w:t>authorized;</w:t>
      </w:r>
      <w:proofErr w:type="gramEnd"/>
    </w:p>
    <w:p w14:paraId="2CB107B5" w14:textId="3A90F754" w:rsidR="00D37452" w:rsidRPr="00E56F51" w:rsidRDefault="00D37452" w:rsidP="00F031C2">
      <w:pPr>
        <w:spacing w:after="0"/>
        <w:ind w:left="720" w:firstLine="698"/>
        <w:rPr>
          <w:rFonts w:ascii="Times New Roman" w:hAnsi="Times New Roman" w:cs="Times New Roman"/>
          <w:sz w:val="20"/>
          <w:szCs w:val="20"/>
          <w:lang w:val="en-US"/>
        </w:rPr>
      </w:pPr>
      <w:r w:rsidRPr="00E56F51">
        <w:rPr>
          <w:rFonts w:ascii="Times New Roman" w:hAnsi="Times New Roman" w:cs="Times New Roman"/>
          <w:sz w:val="20"/>
          <w:szCs w:val="20"/>
          <w:lang w:val="en-US"/>
        </w:rPr>
        <w:t xml:space="preserve">(b) </w:t>
      </w:r>
      <w:r w:rsidRPr="00E56F51">
        <w:rPr>
          <w:rFonts w:ascii="Times New Roman" w:hAnsi="Times New Roman" w:cs="Times New Roman"/>
          <w:sz w:val="20"/>
          <w:szCs w:val="20"/>
          <w:lang w:val="en-US"/>
        </w:rPr>
        <w:tab/>
        <w:t>The waste belongs to one of these categories:</w:t>
      </w:r>
    </w:p>
    <w:p w14:paraId="1E8162A7" w14:textId="06C5E0FB" w:rsidR="00D37452" w:rsidRPr="00E56F51" w:rsidRDefault="00D37452" w:rsidP="00F031C2">
      <w:pPr>
        <w:spacing w:after="0"/>
        <w:ind w:left="1843" w:firstLine="317"/>
        <w:rPr>
          <w:rFonts w:ascii="Times New Roman" w:hAnsi="Times New Roman" w:cs="Times New Roman"/>
          <w:sz w:val="20"/>
          <w:szCs w:val="20"/>
          <w:lang w:val="en-US"/>
        </w:rPr>
      </w:pPr>
      <w:r w:rsidRPr="00E56F51">
        <w:rPr>
          <w:rFonts w:ascii="Times New Roman" w:hAnsi="Times New Roman" w:cs="Times New Roman"/>
          <w:sz w:val="20"/>
          <w:szCs w:val="20"/>
          <w:lang w:val="en-US"/>
        </w:rPr>
        <w:t>(</w:t>
      </w:r>
      <w:proofErr w:type="spellStart"/>
      <w:r w:rsidRPr="00E56F51">
        <w:rPr>
          <w:rFonts w:ascii="Times New Roman" w:hAnsi="Times New Roman" w:cs="Times New Roman"/>
          <w:sz w:val="20"/>
          <w:szCs w:val="20"/>
          <w:lang w:val="en-US"/>
        </w:rPr>
        <w:t>i</w:t>
      </w:r>
      <w:proofErr w:type="spellEnd"/>
      <w:r w:rsidRPr="00E56F51">
        <w:rPr>
          <w:rFonts w:ascii="Times New Roman" w:hAnsi="Times New Roman" w:cs="Times New Roman"/>
          <w:sz w:val="20"/>
          <w:szCs w:val="20"/>
          <w:lang w:val="en-US"/>
        </w:rPr>
        <w:t xml:space="preserve">) </w:t>
      </w:r>
      <w:r w:rsidRPr="00E56F51">
        <w:rPr>
          <w:rFonts w:ascii="Times New Roman" w:hAnsi="Times New Roman" w:cs="Times New Roman"/>
          <w:sz w:val="20"/>
          <w:szCs w:val="20"/>
          <w:lang w:val="en-US"/>
        </w:rPr>
        <w:tab/>
        <w:t>Solid waste from roadworks, including asphalt milling waste</w:t>
      </w:r>
    </w:p>
    <w:p w14:paraId="64B26779" w14:textId="77777777" w:rsidR="00D37452" w:rsidRPr="00E56F51" w:rsidRDefault="00D37452" w:rsidP="00F031C2">
      <w:pPr>
        <w:spacing w:after="0"/>
        <w:ind w:left="2563" w:firstLine="317"/>
        <w:rPr>
          <w:rFonts w:ascii="Times New Roman" w:hAnsi="Times New Roman" w:cs="Times New Roman"/>
          <w:sz w:val="20"/>
          <w:szCs w:val="20"/>
          <w:lang w:val="en-US"/>
        </w:rPr>
      </w:pPr>
      <w:r w:rsidRPr="00E56F51">
        <w:rPr>
          <w:rFonts w:ascii="Times New Roman" w:hAnsi="Times New Roman" w:cs="Times New Roman"/>
          <w:sz w:val="20"/>
          <w:szCs w:val="20"/>
          <w:lang w:val="en-US"/>
        </w:rPr>
        <w:t xml:space="preserve">contaminated with free asbestos and its sweeping </w:t>
      </w:r>
      <w:proofErr w:type="gramStart"/>
      <w:r w:rsidRPr="00E56F51">
        <w:rPr>
          <w:rFonts w:ascii="Times New Roman" w:hAnsi="Times New Roman" w:cs="Times New Roman"/>
          <w:sz w:val="20"/>
          <w:szCs w:val="20"/>
          <w:lang w:val="en-US"/>
        </w:rPr>
        <w:t>residues;</w:t>
      </w:r>
      <w:proofErr w:type="gramEnd"/>
    </w:p>
    <w:p w14:paraId="2B387FC0" w14:textId="124CF13F" w:rsidR="00D37452" w:rsidRPr="00E56F51" w:rsidRDefault="00D37452" w:rsidP="00F031C2">
      <w:pPr>
        <w:spacing w:after="0"/>
        <w:ind w:left="1843" w:firstLine="317"/>
        <w:rPr>
          <w:rFonts w:ascii="Times New Roman" w:hAnsi="Times New Roman" w:cs="Times New Roman"/>
          <w:sz w:val="20"/>
          <w:szCs w:val="20"/>
          <w:lang w:val="en-US"/>
        </w:rPr>
      </w:pPr>
      <w:r w:rsidRPr="00E56F51">
        <w:rPr>
          <w:rFonts w:ascii="Times New Roman" w:hAnsi="Times New Roman" w:cs="Times New Roman"/>
          <w:sz w:val="20"/>
          <w:szCs w:val="20"/>
          <w:lang w:val="en-US"/>
        </w:rPr>
        <w:t xml:space="preserve">(ii) </w:t>
      </w:r>
      <w:r w:rsidRPr="00E56F51">
        <w:rPr>
          <w:rFonts w:ascii="Times New Roman" w:hAnsi="Times New Roman" w:cs="Times New Roman"/>
          <w:sz w:val="20"/>
          <w:szCs w:val="20"/>
          <w:lang w:val="en-US"/>
        </w:rPr>
        <w:tab/>
        <w:t xml:space="preserve">Soil contaminated with free </w:t>
      </w:r>
      <w:proofErr w:type="gramStart"/>
      <w:r w:rsidRPr="00E56F51">
        <w:rPr>
          <w:rFonts w:ascii="Times New Roman" w:hAnsi="Times New Roman" w:cs="Times New Roman"/>
          <w:sz w:val="20"/>
          <w:szCs w:val="20"/>
          <w:lang w:val="en-US"/>
        </w:rPr>
        <w:t>asbestos;</w:t>
      </w:r>
      <w:proofErr w:type="gramEnd"/>
    </w:p>
    <w:p w14:paraId="3189A6B8" w14:textId="2CCFC645" w:rsidR="00D37452" w:rsidRPr="00E56F51" w:rsidRDefault="00D37452" w:rsidP="00F031C2">
      <w:pPr>
        <w:spacing w:after="0"/>
        <w:ind w:left="1843" w:firstLine="317"/>
        <w:rPr>
          <w:rFonts w:ascii="Times New Roman" w:hAnsi="Times New Roman" w:cs="Times New Roman"/>
          <w:sz w:val="20"/>
          <w:szCs w:val="20"/>
          <w:lang w:val="en-US"/>
        </w:rPr>
      </w:pPr>
      <w:r w:rsidRPr="00E56F51">
        <w:rPr>
          <w:rFonts w:ascii="Times New Roman" w:hAnsi="Times New Roman" w:cs="Times New Roman"/>
          <w:sz w:val="20"/>
          <w:szCs w:val="20"/>
          <w:lang w:val="en-US"/>
        </w:rPr>
        <w:t xml:space="preserve">(iii) </w:t>
      </w:r>
      <w:r w:rsidRPr="00E56F51">
        <w:rPr>
          <w:rFonts w:ascii="Times New Roman" w:hAnsi="Times New Roman" w:cs="Times New Roman"/>
          <w:sz w:val="20"/>
          <w:szCs w:val="20"/>
          <w:lang w:val="en-US"/>
        </w:rPr>
        <w:tab/>
        <w:t>Objects (for example, furniture) contaminated with free asbestos</w:t>
      </w:r>
    </w:p>
    <w:p w14:paraId="08CD9CA4" w14:textId="77777777" w:rsidR="00D37452" w:rsidRPr="00E56F51" w:rsidRDefault="00D37452" w:rsidP="00F031C2">
      <w:pPr>
        <w:spacing w:after="0"/>
        <w:ind w:left="2563" w:firstLine="317"/>
        <w:rPr>
          <w:rFonts w:ascii="Times New Roman" w:hAnsi="Times New Roman" w:cs="Times New Roman"/>
          <w:sz w:val="20"/>
          <w:szCs w:val="20"/>
          <w:lang w:val="en-US"/>
        </w:rPr>
      </w:pPr>
      <w:r w:rsidRPr="00E56F51">
        <w:rPr>
          <w:rFonts w:ascii="Times New Roman" w:hAnsi="Times New Roman" w:cs="Times New Roman"/>
          <w:sz w:val="20"/>
          <w:szCs w:val="20"/>
          <w:lang w:val="en-US"/>
        </w:rPr>
        <w:t xml:space="preserve">from damaged structures or </w:t>
      </w:r>
      <w:proofErr w:type="gramStart"/>
      <w:r w:rsidRPr="00E56F51">
        <w:rPr>
          <w:rFonts w:ascii="Times New Roman" w:hAnsi="Times New Roman" w:cs="Times New Roman"/>
          <w:sz w:val="20"/>
          <w:szCs w:val="20"/>
          <w:lang w:val="en-US"/>
        </w:rPr>
        <w:t>buildings;</w:t>
      </w:r>
      <w:proofErr w:type="gramEnd"/>
    </w:p>
    <w:p w14:paraId="52FEF11B" w14:textId="39F60A60" w:rsidR="00D37452" w:rsidRPr="00E56F51" w:rsidRDefault="00D37452" w:rsidP="00F031C2">
      <w:pPr>
        <w:spacing w:after="0"/>
        <w:ind w:left="1843" w:firstLine="317"/>
        <w:rPr>
          <w:rFonts w:ascii="Times New Roman" w:hAnsi="Times New Roman" w:cs="Times New Roman"/>
          <w:sz w:val="20"/>
          <w:szCs w:val="20"/>
          <w:lang w:val="en-US"/>
        </w:rPr>
      </w:pPr>
      <w:r w:rsidRPr="00E56F51">
        <w:rPr>
          <w:rFonts w:ascii="Times New Roman" w:hAnsi="Times New Roman" w:cs="Times New Roman"/>
          <w:sz w:val="20"/>
          <w:szCs w:val="20"/>
          <w:lang w:val="en-US"/>
        </w:rPr>
        <w:t xml:space="preserve">(iv) </w:t>
      </w:r>
      <w:r w:rsidRPr="00E56F51">
        <w:rPr>
          <w:rFonts w:ascii="Times New Roman" w:hAnsi="Times New Roman" w:cs="Times New Roman"/>
          <w:sz w:val="20"/>
          <w:szCs w:val="20"/>
          <w:lang w:val="en-US"/>
        </w:rPr>
        <w:tab/>
        <w:t>Materials from damaged structures or buildings contaminated with</w:t>
      </w:r>
    </w:p>
    <w:p w14:paraId="1974751F" w14:textId="77777777" w:rsidR="00D37452" w:rsidRPr="00E56F51" w:rsidRDefault="00D37452" w:rsidP="00F031C2">
      <w:pPr>
        <w:spacing w:after="0"/>
        <w:ind w:left="2563" w:firstLine="317"/>
        <w:rPr>
          <w:rFonts w:ascii="Times New Roman" w:hAnsi="Times New Roman" w:cs="Times New Roman"/>
          <w:sz w:val="20"/>
          <w:szCs w:val="20"/>
          <w:lang w:val="en-US"/>
        </w:rPr>
      </w:pPr>
      <w:r w:rsidRPr="00E56F51">
        <w:rPr>
          <w:rFonts w:ascii="Times New Roman" w:hAnsi="Times New Roman" w:cs="Times New Roman"/>
          <w:sz w:val="20"/>
          <w:szCs w:val="20"/>
          <w:lang w:val="en-US"/>
        </w:rPr>
        <w:t>free asbestos which, because of their volume or mass, cannot be</w:t>
      </w:r>
    </w:p>
    <w:p w14:paraId="23BDF7B6" w14:textId="77777777" w:rsidR="00D37452" w:rsidRPr="00E56F51" w:rsidRDefault="00D37452" w:rsidP="00F031C2">
      <w:pPr>
        <w:spacing w:after="0"/>
        <w:ind w:left="2246" w:firstLine="634"/>
        <w:rPr>
          <w:rFonts w:ascii="Times New Roman" w:hAnsi="Times New Roman" w:cs="Times New Roman"/>
          <w:sz w:val="20"/>
          <w:szCs w:val="20"/>
          <w:lang w:val="en-US"/>
        </w:rPr>
      </w:pPr>
      <w:r w:rsidRPr="00E56F51">
        <w:rPr>
          <w:rFonts w:ascii="Times New Roman" w:hAnsi="Times New Roman" w:cs="Times New Roman"/>
          <w:sz w:val="20"/>
          <w:szCs w:val="20"/>
          <w:lang w:val="en-US"/>
        </w:rPr>
        <w:t>packed in accordance with the packing instruction applicable to the</w:t>
      </w:r>
    </w:p>
    <w:p w14:paraId="49D4C59A" w14:textId="77777777" w:rsidR="00D37452" w:rsidRPr="00E56F51" w:rsidRDefault="00D37452" w:rsidP="00F031C2">
      <w:pPr>
        <w:spacing w:after="0"/>
        <w:ind w:left="2563" w:firstLine="317"/>
        <w:rPr>
          <w:rFonts w:ascii="Times New Roman" w:hAnsi="Times New Roman" w:cs="Times New Roman"/>
          <w:sz w:val="20"/>
          <w:szCs w:val="20"/>
          <w:lang w:val="en-US"/>
        </w:rPr>
      </w:pPr>
      <w:r w:rsidRPr="00E56F51">
        <w:rPr>
          <w:rFonts w:ascii="Times New Roman" w:hAnsi="Times New Roman" w:cs="Times New Roman"/>
          <w:sz w:val="20"/>
          <w:szCs w:val="20"/>
          <w:lang w:val="en-US"/>
        </w:rPr>
        <w:t>UN number used (UN No. 2212 or 2590, as appropriate); or</w:t>
      </w:r>
    </w:p>
    <w:p w14:paraId="02AD7F8A" w14:textId="2EF8DF64" w:rsidR="00D37452" w:rsidRPr="00E56F51" w:rsidRDefault="00D37452" w:rsidP="00F031C2">
      <w:pPr>
        <w:spacing w:after="0"/>
        <w:ind w:left="1843" w:firstLine="317"/>
        <w:rPr>
          <w:rFonts w:ascii="Times New Roman" w:hAnsi="Times New Roman" w:cs="Times New Roman"/>
          <w:sz w:val="20"/>
          <w:szCs w:val="20"/>
          <w:lang w:val="en-US"/>
        </w:rPr>
      </w:pPr>
      <w:r w:rsidRPr="00E56F51">
        <w:rPr>
          <w:rFonts w:ascii="Times New Roman" w:hAnsi="Times New Roman" w:cs="Times New Roman"/>
          <w:sz w:val="20"/>
          <w:szCs w:val="20"/>
          <w:lang w:val="en-US"/>
        </w:rPr>
        <w:t xml:space="preserve">(v) </w:t>
      </w:r>
      <w:r w:rsidRPr="00E56F51">
        <w:rPr>
          <w:rFonts w:ascii="Times New Roman" w:hAnsi="Times New Roman" w:cs="Times New Roman"/>
          <w:sz w:val="20"/>
          <w:szCs w:val="20"/>
          <w:lang w:val="en-US"/>
        </w:rPr>
        <w:tab/>
        <w:t>Construction site waste contaminated with free asbestos from</w:t>
      </w:r>
    </w:p>
    <w:p w14:paraId="55027566" w14:textId="77777777" w:rsidR="00D37452" w:rsidRPr="00E56F51" w:rsidRDefault="00D37452" w:rsidP="00F031C2">
      <w:pPr>
        <w:spacing w:after="0"/>
        <w:ind w:left="2563" w:firstLine="317"/>
        <w:rPr>
          <w:rFonts w:ascii="Times New Roman" w:hAnsi="Times New Roman" w:cs="Times New Roman"/>
          <w:sz w:val="20"/>
          <w:szCs w:val="20"/>
          <w:lang w:val="en-US"/>
        </w:rPr>
      </w:pPr>
      <w:r w:rsidRPr="00E56F51">
        <w:rPr>
          <w:rFonts w:ascii="Times New Roman" w:hAnsi="Times New Roman" w:cs="Times New Roman"/>
          <w:sz w:val="20"/>
          <w:szCs w:val="20"/>
          <w:lang w:val="en-US"/>
        </w:rPr>
        <w:t>demolished or rehabilitated structures or buildings which, because</w:t>
      </w:r>
    </w:p>
    <w:p w14:paraId="5A5EA099" w14:textId="77777777" w:rsidR="00D37452" w:rsidRPr="00E56F51" w:rsidRDefault="00D37452" w:rsidP="00F031C2">
      <w:pPr>
        <w:spacing w:after="0"/>
        <w:ind w:left="2246" w:firstLine="634"/>
        <w:rPr>
          <w:rFonts w:ascii="Times New Roman" w:hAnsi="Times New Roman" w:cs="Times New Roman"/>
          <w:sz w:val="20"/>
          <w:szCs w:val="20"/>
          <w:lang w:val="en-US"/>
        </w:rPr>
      </w:pPr>
      <w:r w:rsidRPr="00E56F51">
        <w:rPr>
          <w:rFonts w:ascii="Times New Roman" w:hAnsi="Times New Roman" w:cs="Times New Roman"/>
          <w:sz w:val="20"/>
          <w:szCs w:val="20"/>
          <w:lang w:val="en-US"/>
        </w:rPr>
        <w:t>of their size or mass, cannot be packed in accordance with the</w:t>
      </w:r>
    </w:p>
    <w:p w14:paraId="7B43F68E" w14:textId="77777777" w:rsidR="00D37452" w:rsidRPr="00E56F51" w:rsidRDefault="00D37452" w:rsidP="00F031C2">
      <w:pPr>
        <w:spacing w:after="0"/>
        <w:ind w:left="2563" w:firstLine="317"/>
        <w:rPr>
          <w:rFonts w:ascii="Times New Roman" w:hAnsi="Times New Roman" w:cs="Times New Roman"/>
          <w:sz w:val="20"/>
          <w:szCs w:val="20"/>
          <w:lang w:val="en-US"/>
        </w:rPr>
      </w:pPr>
      <w:r w:rsidRPr="00E56F51">
        <w:rPr>
          <w:rFonts w:ascii="Times New Roman" w:hAnsi="Times New Roman" w:cs="Times New Roman"/>
          <w:sz w:val="20"/>
          <w:szCs w:val="20"/>
          <w:lang w:val="en-US"/>
        </w:rPr>
        <w:t>packing instruction applicable to the UN number used (UN No.</w:t>
      </w:r>
    </w:p>
    <w:p w14:paraId="795691C7" w14:textId="77777777" w:rsidR="00D37452" w:rsidRPr="00E56F51" w:rsidRDefault="00D37452" w:rsidP="00F031C2">
      <w:pPr>
        <w:spacing w:after="0"/>
        <w:ind w:left="2246" w:firstLine="634"/>
        <w:rPr>
          <w:rFonts w:ascii="Times New Roman" w:hAnsi="Times New Roman" w:cs="Times New Roman"/>
          <w:sz w:val="20"/>
          <w:szCs w:val="20"/>
          <w:lang w:val="en-US"/>
        </w:rPr>
      </w:pPr>
      <w:r w:rsidRPr="00E56F51">
        <w:rPr>
          <w:rFonts w:ascii="Times New Roman" w:hAnsi="Times New Roman" w:cs="Times New Roman"/>
          <w:sz w:val="20"/>
          <w:szCs w:val="20"/>
          <w:lang w:val="en-US"/>
        </w:rPr>
        <w:t>2212 or 2590, as appropriate</w:t>
      </w:r>
      <w:proofErr w:type="gramStart"/>
      <w:r w:rsidRPr="00E56F51">
        <w:rPr>
          <w:rFonts w:ascii="Times New Roman" w:hAnsi="Times New Roman" w:cs="Times New Roman"/>
          <w:sz w:val="20"/>
          <w:szCs w:val="20"/>
          <w:lang w:val="en-US"/>
        </w:rPr>
        <w:t>);</w:t>
      </w:r>
      <w:proofErr w:type="gramEnd"/>
    </w:p>
    <w:p w14:paraId="09238A97" w14:textId="10928272" w:rsidR="00D37452" w:rsidRPr="00E56F51" w:rsidRDefault="00D37452" w:rsidP="00F031C2">
      <w:pPr>
        <w:spacing w:after="0"/>
        <w:ind w:left="851" w:firstLine="589"/>
        <w:rPr>
          <w:rFonts w:ascii="Times New Roman" w:hAnsi="Times New Roman" w:cs="Times New Roman"/>
          <w:sz w:val="20"/>
          <w:szCs w:val="20"/>
          <w:lang w:val="en-US"/>
        </w:rPr>
      </w:pPr>
      <w:r w:rsidRPr="00E56F51">
        <w:rPr>
          <w:rFonts w:ascii="Times New Roman" w:hAnsi="Times New Roman" w:cs="Times New Roman"/>
          <w:sz w:val="20"/>
          <w:szCs w:val="20"/>
          <w:lang w:val="en-US"/>
        </w:rPr>
        <w:t xml:space="preserve">(c) </w:t>
      </w:r>
      <w:r w:rsidRPr="00E56F51">
        <w:rPr>
          <w:rFonts w:ascii="Times New Roman" w:hAnsi="Times New Roman" w:cs="Times New Roman"/>
          <w:sz w:val="20"/>
          <w:szCs w:val="20"/>
          <w:lang w:val="en-US"/>
        </w:rPr>
        <w:tab/>
        <w:t>Waste covered by these provisions shall not be mixed or loaded with other</w:t>
      </w:r>
    </w:p>
    <w:p w14:paraId="338869BF" w14:textId="77777777" w:rsidR="00D37452" w:rsidRPr="00E56F51" w:rsidRDefault="00D37452" w:rsidP="00F031C2">
      <w:pPr>
        <w:spacing w:after="0"/>
        <w:ind w:left="1571" w:firstLine="589"/>
        <w:rPr>
          <w:rFonts w:ascii="Times New Roman" w:hAnsi="Times New Roman" w:cs="Times New Roman"/>
          <w:sz w:val="20"/>
          <w:szCs w:val="20"/>
          <w:lang w:val="en-US"/>
        </w:rPr>
      </w:pPr>
      <w:r w:rsidRPr="00E56F51">
        <w:rPr>
          <w:rFonts w:ascii="Times New Roman" w:hAnsi="Times New Roman" w:cs="Times New Roman"/>
          <w:sz w:val="20"/>
          <w:szCs w:val="20"/>
          <w:lang w:val="en-US"/>
        </w:rPr>
        <w:t xml:space="preserve">asbestos-containing waste or any other hazardous or non-hazardous </w:t>
      </w:r>
      <w:proofErr w:type="gramStart"/>
      <w:r w:rsidRPr="00E56F51">
        <w:rPr>
          <w:rFonts w:ascii="Times New Roman" w:hAnsi="Times New Roman" w:cs="Times New Roman"/>
          <w:sz w:val="20"/>
          <w:szCs w:val="20"/>
          <w:lang w:val="en-US"/>
        </w:rPr>
        <w:t>waste;</w:t>
      </w:r>
      <w:proofErr w:type="gramEnd"/>
    </w:p>
    <w:p w14:paraId="134D8248" w14:textId="5FA30762" w:rsidR="00D37452" w:rsidRPr="00E56F51" w:rsidRDefault="00D37452" w:rsidP="00F031C2">
      <w:pPr>
        <w:spacing w:after="0"/>
        <w:ind w:left="851" w:firstLine="589"/>
        <w:rPr>
          <w:rFonts w:ascii="Times New Roman" w:hAnsi="Times New Roman" w:cs="Times New Roman"/>
          <w:sz w:val="20"/>
          <w:szCs w:val="20"/>
          <w:lang w:val="en-US"/>
        </w:rPr>
      </w:pPr>
      <w:r w:rsidRPr="00E56F51">
        <w:rPr>
          <w:rFonts w:ascii="Times New Roman" w:hAnsi="Times New Roman" w:cs="Times New Roman"/>
          <w:sz w:val="20"/>
          <w:szCs w:val="20"/>
          <w:lang w:val="en-US"/>
        </w:rPr>
        <w:t xml:space="preserve">(d) </w:t>
      </w:r>
      <w:r w:rsidRPr="00E56F51">
        <w:rPr>
          <w:rFonts w:ascii="Times New Roman" w:hAnsi="Times New Roman" w:cs="Times New Roman"/>
          <w:sz w:val="20"/>
          <w:szCs w:val="20"/>
          <w:lang w:val="en-US"/>
        </w:rPr>
        <w:tab/>
        <w:t>Each shipment shall be considered a full load as defined in 1.2.1; and</w:t>
      </w:r>
    </w:p>
    <w:p w14:paraId="073BAEE0" w14:textId="0C5F2EBE" w:rsidR="0063501E" w:rsidRPr="00E56F51" w:rsidRDefault="00D37452" w:rsidP="00F031C2">
      <w:pPr>
        <w:spacing w:after="0"/>
        <w:ind w:left="851" w:firstLine="589"/>
        <w:rPr>
          <w:rFonts w:ascii="Times New Roman" w:hAnsi="Times New Roman" w:cs="Times New Roman"/>
          <w:sz w:val="20"/>
          <w:szCs w:val="20"/>
          <w:lang w:val="en-US"/>
        </w:rPr>
      </w:pPr>
      <w:r w:rsidRPr="00E56F51">
        <w:rPr>
          <w:rFonts w:ascii="Times New Roman" w:hAnsi="Times New Roman" w:cs="Times New Roman"/>
          <w:sz w:val="20"/>
          <w:szCs w:val="20"/>
          <w:lang w:val="en-US"/>
        </w:rPr>
        <w:t xml:space="preserve">(e) </w:t>
      </w:r>
      <w:r w:rsidRPr="00E56F51">
        <w:rPr>
          <w:rFonts w:ascii="Times New Roman" w:hAnsi="Times New Roman" w:cs="Times New Roman"/>
          <w:sz w:val="20"/>
          <w:szCs w:val="20"/>
          <w:lang w:val="en-US"/>
        </w:rPr>
        <w:tab/>
        <w:t>The transport document shall be in conformity with 5.4.1.1.4.”</w:t>
      </w:r>
      <w:r w:rsidRPr="00E56F51">
        <w:rPr>
          <w:rFonts w:ascii="Times New Roman" w:hAnsi="Times New Roman" w:cs="Times New Roman"/>
          <w:sz w:val="20"/>
          <w:szCs w:val="20"/>
          <w:lang w:val="en-US"/>
        </w:rPr>
        <w:cr/>
      </w:r>
    </w:p>
    <w:p w14:paraId="6D7DB41C" w14:textId="549EBCFF" w:rsidR="00223B27" w:rsidRPr="00E56F51" w:rsidRDefault="0024524B" w:rsidP="00D37452">
      <w:pPr>
        <w:rPr>
          <w:rFonts w:ascii="Calibri" w:hAnsi="Calibri" w:cs="Calibri"/>
          <w:u w:val="single"/>
          <w:lang w:val="en-US"/>
        </w:rPr>
      </w:pPr>
      <w:r w:rsidRPr="00E56F51">
        <w:rPr>
          <w:rFonts w:ascii="Calibri" w:hAnsi="Calibri" w:cs="Calibri"/>
          <w:u w:val="single"/>
          <w:lang w:val="en-US"/>
        </w:rPr>
        <w:t>“</w:t>
      </w:r>
      <w:r w:rsidR="00352DA4" w:rsidRPr="00E56F51">
        <w:rPr>
          <w:rFonts w:ascii="Calibri" w:hAnsi="Calibri" w:cs="Calibri"/>
          <w:u w:val="single"/>
          <w:lang w:val="en-US"/>
        </w:rPr>
        <w:t>VC1</w:t>
      </w:r>
      <w:r w:rsidRPr="00E56F51">
        <w:rPr>
          <w:rFonts w:ascii="Calibri" w:hAnsi="Calibri" w:cs="Calibri"/>
          <w:u w:val="single"/>
          <w:lang w:val="en-US"/>
        </w:rPr>
        <w:t>”</w:t>
      </w:r>
      <w:r w:rsidR="00352DA4" w:rsidRPr="00E56F51">
        <w:rPr>
          <w:rFonts w:ascii="Calibri" w:hAnsi="Calibri" w:cs="Calibri"/>
          <w:u w:val="single"/>
          <w:lang w:val="en-US"/>
        </w:rPr>
        <w:t xml:space="preserve"> and </w:t>
      </w:r>
      <w:r w:rsidRPr="00E56F51">
        <w:rPr>
          <w:rFonts w:ascii="Calibri" w:hAnsi="Calibri" w:cs="Calibri"/>
          <w:u w:val="single"/>
          <w:lang w:val="en-US"/>
        </w:rPr>
        <w:t>“</w:t>
      </w:r>
      <w:r w:rsidR="00352DA4" w:rsidRPr="00E56F51">
        <w:rPr>
          <w:rFonts w:ascii="Calibri" w:hAnsi="Calibri" w:cs="Calibri"/>
          <w:u w:val="single"/>
          <w:lang w:val="en-US"/>
        </w:rPr>
        <w:t>VC2</w:t>
      </w:r>
      <w:r w:rsidRPr="00E56F51">
        <w:rPr>
          <w:rFonts w:ascii="Calibri" w:hAnsi="Calibri" w:cs="Calibri"/>
          <w:u w:val="single"/>
          <w:lang w:val="en-US"/>
        </w:rPr>
        <w:t>”</w:t>
      </w:r>
      <w:r w:rsidR="00352DA4" w:rsidRPr="00E56F51">
        <w:rPr>
          <w:rFonts w:ascii="Calibri" w:hAnsi="Calibri" w:cs="Calibri"/>
          <w:u w:val="single"/>
          <w:lang w:val="en-US"/>
        </w:rPr>
        <w:t xml:space="preserve"> are existing ADR requirements which require:</w:t>
      </w:r>
    </w:p>
    <w:p w14:paraId="03677E68" w14:textId="77777777" w:rsidR="00352DA4" w:rsidRPr="00E56F51" w:rsidRDefault="00352DA4" w:rsidP="00352DA4">
      <w:pPr>
        <w:ind w:left="1418" w:hanging="1418"/>
        <w:rPr>
          <w:rFonts w:ascii="Times New Roman" w:hAnsi="Times New Roman" w:cs="Times New Roman"/>
          <w:sz w:val="20"/>
          <w:szCs w:val="20"/>
        </w:rPr>
      </w:pPr>
      <w:r w:rsidRPr="00E56F51">
        <w:rPr>
          <w:rFonts w:ascii="Times New Roman" w:hAnsi="Times New Roman" w:cs="Times New Roman"/>
          <w:sz w:val="20"/>
          <w:szCs w:val="20"/>
        </w:rPr>
        <w:t xml:space="preserve">VC1 </w:t>
      </w:r>
      <w:r w:rsidRPr="00E56F51">
        <w:rPr>
          <w:rFonts w:ascii="Times New Roman" w:hAnsi="Times New Roman" w:cs="Times New Roman"/>
          <w:sz w:val="20"/>
          <w:szCs w:val="20"/>
        </w:rPr>
        <w:tab/>
        <w:t xml:space="preserve">Carriage in bulk in sheeted vehicles, sheeted containers or sheeted bulk containers is </w:t>
      </w:r>
      <w:proofErr w:type="gramStart"/>
      <w:r w:rsidRPr="00E56F51">
        <w:rPr>
          <w:rFonts w:ascii="Times New Roman" w:hAnsi="Times New Roman" w:cs="Times New Roman"/>
          <w:sz w:val="20"/>
          <w:szCs w:val="20"/>
        </w:rPr>
        <w:t>permitted;</w:t>
      </w:r>
      <w:proofErr w:type="gramEnd"/>
      <w:r w:rsidRPr="00E56F51">
        <w:rPr>
          <w:rFonts w:ascii="Times New Roman" w:hAnsi="Times New Roman" w:cs="Times New Roman"/>
          <w:sz w:val="20"/>
          <w:szCs w:val="20"/>
        </w:rPr>
        <w:t xml:space="preserve"> </w:t>
      </w:r>
    </w:p>
    <w:p w14:paraId="50161CFA" w14:textId="346908AA" w:rsidR="00352DA4" w:rsidRPr="00E56F51" w:rsidRDefault="00352DA4" w:rsidP="00352DA4">
      <w:pPr>
        <w:ind w:left="1418" w:hanging="1418"/>
        <w:rPr>
          <w:rFonts w:ascii="Times New Roman" w:hAnsi="Times New Roman" w:cs="Times New Roman"/>
          <w:sz w:val="20"/>
          <w:szCs w:val="20"/>
          <w:lang w:val="en-US"/>
        </w:rPr>
      </w:pPr>
      <w:r w:rsidRPr="00E56F51">
        <w:rPr>
          <w:rFonts w:ascii="Times New Roman" w:hAnsi="Times New Roman" w:cs="Times New Roman"/>
          <w:sz w:val="20"/>
          <w:szCs w:val="20"/>
        </w:rPr>
        <w:t xml:space="preserve">VC2 </w:t>
      </w:r>
      <w:r w:rsidRPr="00E56F51">
        <w:rPr>
          <w:rFonts w:ascii="Times New Roman" w:hAnsi="Times New Roman" w:cs="Times New Roman"/>
          <w:sz w:val="20"/>
          <w:szCs w:val="20"/>
        </w:rPr>
        <w:tab/>
        <w:t xml:space="preserve">Carriage in bulk in closed vehicles, closed containers or closed bulk containers is </w:t>
      </w:r>
      <w:proofErr w:type="gramStart"/>
      <w:r w:rsidRPr="00E56F51">
        <w:rPr>
          <w:rFonts w:ascii="Times New Roman" w:hAnsi="Times New Roman" w:cs="Times New Roman"/>
          <w:sz w:val="20"/>
          <w:szCs w:val="20"/>
        </w:rPr>
        <w:t>permitted;</w:t>
      </w:r>
      <w:proofErr w:type="gramEnd"/>
    </w:p>
    <w:p w14:paraId="0AC227A6" w14:textId="66C20938" w:rsidR="00223B27" w:rsidRPr="00E56F51" w:rsidRDefault="0024524B" w:rsidP="00D37452">
      <w:pPr>
        <w:rPr>
          <w:rFonts w:ascii="Calibri" w:hAnsi="Calibri" w:cs="Calibri"/>
          <w:u w:val="single"/>
          <w:lang w:val="en-US"/>
        </w:rPr>
      </w:pPr>
      <w:r w:rsidRPr="00E56F51">
        <w:rPr>
          <w:rFonts w:ascii="Calibri" w:hAnsi="Calibri" w:cs="Calibri"/>
          <w:u w:val="single"/>
          <w:lang w:val="en-US"/>
        </w:rPr>
        <w:t>“</w:t>
      </w:r>
      <w:r w:rsidR="00352DA4" w:rsidRPr="00E56F51">
        <w:rPr>
          <w:rFonts w:ascii="Calibri" w:hAnsi="Calibri" w:cs="Calibri"/>
          <w:u w:val="single"/>
          <w:lang w:val="en-US"/>
        </w:rPr>
        <w:t>AP12</w:t>
      </w:r>
      <w:r w:rsidRPr="00E56F51">
        <w:rPr>
          <w:rFonts w:ascii="Calibri" w:hAnsi="Calibri" w:cs="Calibri"/>
          <w:u w:val="single"/>
          <w:lang w:val="en-US"/>
        </w:rPr>
        <w:t>”</w:t>
      </w:r>
      <w:r w:rsidR="00352DA4" w:rsidRPr="00E56F51">
        <w:rPr>
          <w:rFonts w:ascii="Calibri" w:hAnsi="Calibri" w:cs="Calibri"/>
          <w:u w:val="single"/>
          <w:lang w:val="en-US"/>
        </w:rPr>
        <w:t xml:space="preserve"> is a new additional provision which requires:</w:t>
      </w:r>
    </w:p>
    <w:p w14:paraId="60ADD9B4" w14:textId="63E25530" w:rsidR="00352DA4" w:rsidRPr="00E56F51" w:rsidRDefault="00352DA4" w:rsidP="00F031C2">
      <w:pPr>
        <w:ind w:left="1440" w:hanging="1440"/>
        <w:rPr>
          <w:rFonts w:ascii="Times New Roman" w:hAnsi="Times New Roman" w:cs="Times New Roman"/>
          <w:sz w:val="20"/>
          <w:szCs w:val="20"/>
        </w:rPr>
      </w:pPr>
      <w:r w:rsidRPr="00E56F51">
        <w:rPr>
          <w:rFonts w:ascii="Times New Roman" w:hAnsi="Times New Roman" w:cs="Times New Roman"/>
          <w:sz w:val="20"/>
          <w:szCs w:val="20"/>
        </w:rPr>
        <w:t>“AP12</w:t>
      </w:r>
      <w:r w:rsidRPr="00E56F51">
        <w:rPr>
          <w:rFonts w:ascii="Times New Roman" w:hAnsi="Times New Roman" w:cs="Times New Roman"/>
        </w:rPr>
        <w:t xml:space="preserve"> </w:t>
      </w:r>
      <w:r w:rsidR="00F031C2" w:rsidRPr="00E56F51">
        <w:rPr>
          <w:rFonts w:ascii="Times New Roman" w:hAnsi="Times New Roman" w:cs="Times New Roman"/>
        </w:rPr>
        <w:tab/>
      </w:r>
      <w:r w:rsidRPr="00E56F51">
        <w:rPr>
          <w:rFonts w:ascii="Times New Roman" w:hAnsi="Times New Roman" w:cs="Times New Roman"/>
          <w:sz w:val="20"/>
          <w:szCs w:val="20"/>
        </w:rPr>
        <w:t xml:space="preserve">The waste may be carried in bulk </w:t>
      </w:r>
      <w:proofErr w:type="gramStart"/>
      <w:r w:rsidRPr="00E56F51">
        <w:rPr>
          <w:rFonts w:ascii="Times New Roman" w:hAnsi="Times New Roman" w:cs="Times New Roman"/>
          <w:sz w:val="20"/>
          <w:szCs w:val="20"/>
        </w:rPr>
        <w:t>provided that</w:t>
      </w:r>
      <w:proofErr w:type="gramEnd"/>
      <w:r w:rsidRPr="00E56F51">
        <w:rPr>
          <w:rFonts w:ascii="Times New Roman" w:hAnsi="Times New Roman" w:cs="Times New Roman"/>
          <w:sz w:val="20"/>
          <w:szCs w:val="20"/>
        </w:rPr>
        <w:t xml:space="preserve"> it is contained in a bag of the size of the load compartment, referred to as a "container-bag".</w:t>
      </w:r>
    </w:p>
    <w:p w14:paraId="7187941E" w14:textId="77777777" w:rsidR="00352DA4" w:rsidRPr="00E56F51" w:rsidRDefault="00352DA4" w:rsidP="00F031C2">
      <w:pPr>
        <w:ind w:left="1440"/>
        <w:rPr>
          <w:rFonts w:ascii="Times New Roman" w:hAnsi="Times New Roman" w:cs="Times New Roman"/>
          <w:sz w:val="20"/>
          <w:szCs w:val="20"/>
        </w:rPr>
      </w:pPr>
      <w:r w:rsidRPr="00E56F51">
        <w:rPr>
          <w:rFonts w:ascii="Times New Roman" w:hAnsi="Times New Roman" w:cs="Times New Roman"/>
          <w:sz w:val="20"/>
          <w:szCs w:val="20"/>
        </w:rPr>
        <w:t xml:space="preserve">The container-bag is intended to be loaded only when placed inside a bulk load compartment with rigid walls. It is not intended for handling or to be used alone outside of this compartment. </w:t>
      </w:r>
    </w:p>
    <w:p w14:paraId="3175C8C3" w14:textId="18859AD3" w:rsidR="00352DA4" w:rsidRPr="00E56F51" w:rsidRDefault="00352DA4" w:rsidP="00F031C2">
      <w:pPr>
        <w:ind w:left="1440"/>
        <w:rPr>
          <w:rFonts w:ascii="Times New Roman" w:hAnsi="Times New Roman" w:cs="Times New Roman"/>
          <w:sz w:val="20"/>
          <w:szCs w:val="20"/>
        </w:rPr>
      </w:pPr>
      <w:r w:rsidRPr="00E56F51">
        <w:rPr>
          <w:rFonts w:ascii="Times New Roman" w:hAnsi="Times New Roman" w:cs="Times New Roman"/>
          <w:sz w:val="20"/>
          <w:szCs w:val="20"/>
        </w:rPr>
        <w:lastRenderedPageBreak/>
        <w:t xml:space="preserve">For the purposes of this provision, container-bags shall have at least two </w:t>
      </w:r>
      <w:r w:rsidR="00F031C2" w:rsidRPr="00E56F51">
        <w:rPr>
          <w:rFonts w:ascii="Times New Roman" w:hAnsi="Times New Roman" w:cs="Times New Roman"/>
          <w:sz w:val="20"/>
          <w:szCs w:val="20"/>
        </w:rPr>
        <w:t>components</w:t>
      </w:r>
      <w:r w:rsidRPr="00E56F51">
        <w:rPr>
          <w:rFonts w:ascii="Times New Roman" w:hAnsi="Times New Roman" w:cs="Times New Roman"/>
          <w:sz w:val="20"/>
          <w:szCs w:val="20"/>
        </w:rPr>
        <w:t xml:space="preserve">. </w:t>
      </w:r>
    </w:p>
    <w:p w14:paraId="38494D63" w14:textId="2DAD8D05" w:rsidR="00352DA4" w:rsidRPr="00E56F51" w:rsidRDefault="00352DA4" w:rsidP="00F031C2">
      <w:pPr>
        <w:ind w:left="1440"/>
        <w:rPr>
          <w:rFonts w:ascii="Times New Roman" w:hAnsi="Times New Roman" w:cs="Times New Roman"/>
          <w:sz w:val="20"/>
          <w:szCs w:val="20"/>
        </w:rPr>
      </w:pPr>
      <w:r w:rsidRPr="00E56F51">
        <w:rPr>
          <w:rFonts w:ascii="Times New Roman" w:hAnsi="Times New Roman" w:cs="Times New Roman"/>
          <w:sz w:val="20"/>
          <w:szCs w:val="20"/>
        </w:rPr>
        <w:t xml:space="preserve">The inner </w:t>
      </w:r>
      <w:r w:rsidR="00F031C2" w:rsidRPr="00E56F51">
        <w:rPr>
          <w:rFonts w:ascii="Times New Roman" w:hAnsi="Times New Roman" w:cs="Times New Roman"/>
          <w:sz w:val="20"/>
          <w:szCs w:val="20"/>
        </w:rPr>
        <w:t xml:space="preserve">component </w:t>
      </w:r>
      <w:r w:rsidRPr="00E56F51">
        <w:rPr>
          <w:rFonts w:ascii="Times New Roman" w:hAnsi="Times New Roman" w:cs="Times New Roman"/>
          <w:sz w:val="20"/>
          <w:szCs w:val="20"/>
        </w:rPr>
        <w:t xml:space="preserve">shall be dust-tight to prevent the release of dangerous quantities of asbestos fibres during carriage. The inner </w:t>
      </w:r>
      <w:r w:rsidR="00F031C2" w:rsidRPr="00E56F51">
        <w:rPr>
          <w:rFonts w:ascii="Times New Roman" w:hAnsi="Times New Roman" w:cs="Times New Roman"/>
          <w:sz w:val="20"/>
          <w:szCs w:val="20"/>
        </w:rPr>
        <w:t>component s</w:t>
      </w:r>
      <w:r w:rsidRPr="00E56F51">
        <w:rPr>
          <w:rFonts w:ascii="Times New Roman" w:hAnsi="Times New Roman" w:cs="Times New Roman"/>
          <w:sz w:val="20"/>
          <w:szCs w:val="20"/>
        </w:rPr>
        <w:t xml:space="preserve">hall be a polyethylene or polypropylene film. </w:t>
      </w:r>
    </w:p>
    <w:p w14:paraId="50C34DB7" w14:textId="5269EABB" w:rsidR="00352DA4" w:rsidRPr="00E56F51" w:rsidRDefault="00352DA4" w:rsidP="00F031C2">
      <w:pPr>
        <w:ind w:left="1440"/>
        <w:rPr>
          <w:rFonts w:ascii="Times New Roman" w:hAnsi="Times New Roman" w:cs="Times New Roman"/>
          <w:sz w:val="20"/>
          <w:szCs w:val="20"/>
        </w:rPr>
      </w:pPr>
      <w:r w:rsidRPr="00E56F51">
        <w:rPr>
          <w:rFonts w:ascii="Times New Roman" w:hAnsi="Times New Roman" w:cs="Times New Roman"/>
          <w:sz w:val="20"/>
          <w:szCs w:val="20"/>
        </w:rPr>
        <w:t xml:space="preserve">The outer </w:t>
      </w:r>
      <w:r w:rsidR="00F031C2" w:rsidRPr="00E56F51">
        <w:rPr>
          <w:rFonts w:ascii="Times New Roman" w:hAnsi="Times New Roman" w:cs="Times New Roman"/>
          <w:sz w:val="20"/>
          <w:szCs w:val="20"/>
        </w:rPr>
        <w:t xml:space="preserve">component </w:t>
      </w:r>
      <w:r w:rsidRPr="00E56F51">
        <w:rPr>
          <w:rFonts w:ascii="Times New Roman" w:hAnsi="Times New Roman" w:cs="Times New Roman"/>
          <w:sz w:val="20"/>
          <w:szCs w:val="20"/>
        </w:rPr>
        <w:t xml:space="preserve">shall be polypropylene and shall be fitted with a zipper system. It shall ensure the mechanical resistance of a container-bag loaded with waste to the shocks and stresses in normal conditions of carriage, </w:t>
      </w:r>
      <w:proofErr w:type="gramStart"/>
      <w:r w:rsidRPr="00E56F51">
        <w:rPr>
          <w:rFonts w:ascii="Times New Roman" w:hAnsi="Times New Roman" w:cs="Times New Roman"/>
          <w:sz w:val="20"/>
          <w:szCs w:val="20"/>
        </w:rPr>
        <w:t>in particular when</w:t>
      </w:r>
      <w:proofErr w:type="gramEnd"/>
      <w:r w:rsidRPr="00E56F51">
        <w:rPr>
          <w:rFonts w:ascii="Times New Roman" w:hAnsi="Times New Roman" w:cs="Times New Roman"/>
          <w:sz w:val="20"/>
          <w:szCs w:val="20"/>
        </w:rPr>
        <w:t xml:space="preserve"> a load compartment loaded with container-bags is transferred between vehicles and storage facilities. </w:t>
      </w:r>
    </w:p>
    <w:p w14:paraId="02CFD61E" w14:textId="77777777" w:rsidR="00352DA4" w:rsidRPr="00E56F51" w:rsidRDefault="00352DA4" w:rsidP="00F031C2">
      <w:pPr>
        <w:ind w:left="1440"/>
        <w:rPr>
          <w:rFonts w:ascii="Times New Roman" w:hAnsi="Times New Roman" w:cs="Times New Roman"/>
          <w:sz w:val="20"/>
          <w:szCs w:val="20"/>
        </w:rPr>
      </w:pPr>
      <w:r w:rsidRPr="00E56F51">
        <w:rPr>
          <w:rFonts w:ascii="Times New Roman" w:hAnsi="Times New Roman" w:cs="Times New Roman"/>
          <w:sz w:val="20"/>
          <w:szCs w:val="20"/>
        </w:rPr>
        <w:t xml:space="preserve">Container-bags shall: </w:t>
      </w:r>
    </w:p>
    <w:p w14:paraId="1BAE64A2" w14:textId="77777777" w:rsidR="00352DA4" w:rsidRPr="00E56F51" w:rsidRDefault="00352DA4" w:rsidP="00F031C2">
      <w:pPr>
        <w:ind w:left="2160" w:hanging="720"/>
        <w:rPr>
          <w:rFonts w:ascii="Times New Roman" w:hAnsi="Times New Roman" w:cs="Times New Roman"/>
          <w:sz w:val="20"/>
          <w:szCs w:val="20"/>
        </w:rPr>
      </w:pPr>
      <w:r w:rsidRPr="00E56F51">
        <w:rPr>
          <w:rFonts w:ascii="Times New Roman" w:hAnsi="Times New Roman" w:cs="Times New Roman"/>
          <w:sz w:val="20"/>
          <w:szCs w:val="20"/>
        </w:rPr>
        <w:t xml:space="preserve">(a) </w:t>
      </w:r>
      <w:r w:rsidRPr="00E56F51">
        <w:rPr>
          <w:rFonts w:ascii="Times New Roman" w:hAnsi="Times New Roman" w:cs="Times New Roman"/>
          <w:sz w:val="20"/>
          <w:szCs w:val="20"/>
        </w:rPr>
        <w:tab/>
        <w:t xml:space="preserve">Be designed to resist perforation or tearing by contaminated waste or objects due to their angles or </w:t>
      </w:r>
      <w:proofErr w:type="gramStart"/>
      <w:r w:rsidRPr="00E56F51">
        <w:rPr>
          <w:rFonts w:ascii="Times New Roman" w:hAnsi="Times New Roman" w:cs="Times New Roman"/>
          <w:sz w:val="20"/>
          <w:szCs w:val="20"/>
        </w:rPr>
        <w:t>roughness;</w:t>
      </w:r>
      <w:proofErr w:type="gramEnd"/>
      <w:r w:rsidRPr="00E56F51">
        <w:rPr>
          <w:rFonts w:ascii="Times New Roman" w:hAnsi="Times New Roman" w:cs="Times New Roman"/>
          <w:sz w:val="20"/>
          <w:szCs w:val="20"/>
        </w:rPr>
        <w:t xml:space="preserve"> </w:t>
      </w:r>
    </w:p>
    <w:p w14:paraId="0C8A1C82" w14:textId="29747168" w:rsidR="00352DA4" w:rsidRPr="00E56F51" w:rsidRDefault="00352DA4" w:rsidP="00F031C2">
      <w:pPr>
        <w:ind w:left="2160" w:hanging="720"/>
        <w:rPr>
          <w:rFonts w:ascii="Times New Roman" w:hAnsi="Times New Roman" w:cs="Times New Roman"/>
          <w:sz w:val="20"/>
          <w:szCs w:val="20"/>
        </w:rPr>
      </w:pPr>
      <w:r w:rsidRPr="00E56F51">
        <w:rPr>
          <w:rFonts w:ascii="Times New Roman" w:hAnsi="Times New Roman" w:cs="Times New Roman"/>
          <w:sz w:val="20"/>
          <w:szCs w:val="20"/>
        </w:rPr>
        <w:t xml:space="preserve">(b) </w:t>
      </w:r>
      <w:r w:rsidRPr="00E56F51">
        <w:rPr>
          <w:rFonts w:ascii="Times New Roman" w:hAnsi="Times New Roman" w:cs="Times New Roman"/>
          <w:sz w:val="20"/>
          <w:szCs w:val="20"/>
        </w:rPr>
        <w:tab/>
        <w:t xml:space="preserve">Have a zipper system that is sufficiently tight to prevent the release of dangerous quantities of asbestos fibres during carriage. Laced or flapped fasteners are not authorized. </w:t>
      </w:r>
    </w:p>
    <w:p w14:paraId="10FA4558" w14:textId="0C574F4E" w:rsidR="00352DA4" w:rsidRPr="00E56F51" w:rsidRDefault="00352DA4" w:rsidP="00F031C2">
      <w:pPr>
        <w:ind w:left="1440"/>
        <w:rPr>
          <w:rFonts w:ascii="Times New Roman" w:hAnsi="Times New Roman" w:cs="Times New Roman"/>
          <w:sz w:val="20"/>
          <w:szCs w:val="20"/>
        </w:rPr>
      </w:pPr>
      <w:r w:rsidRPr="00E56F51">
        <w:rPr>
          <w:rFonts w:ascii="Times New Roman" w:hAnsi="Times New Roman" w:cs="Times New Roman"/>
          <w:sz w:val="20"/>
          <w:szCs w:val="20"/>
        </w:rPr>
        <w:t>The load compartment shall have rigid metal walls of sufficient strength for its intended use. The walls shall be sufficiently high to completely contain the container-bag. Provided the container-bag offers similar protection, the sheeting of the vehicle can be omitted when using the VC1 provision.</w:t>
      </w:r>
    </w:p>
    <w:p w14:paraId="3C12C586" w14:textId="77777777" w:rsidR="00352DA4" w:rsidRPr="00E56F51" w:rsidRDefault="00352DA4" w:rsidP="00F031C2">
      <w:pPr>
        <w:ind w:left="1440"/>
        <w:rPr>
          <w:rFonts w:ascii="Times New Roman" w:hAnsi="Times New Roman" w:cs="Times New Roman"/>
          <w:sz w:val="20"/>
          <w:szCs w:val="20"/>
        </w:rPr>
      </w:pPr>
      <w:r w:rsidRPr="00E56F51">
        <w:rPr>
          <w:rFonts w:ascii="Times New Roman" w:hAnsi="Times New Roman" w:cs="Times New Roman"/>
          <w:sz w:val="20"/>
          <w:szCs w:val="20"/>
        </w:rPr>
        <w:t xml:space="preserve">Objects contaminated with free asbestos from damaged structures or buildings, as well as construction site waste contaminated with free asbestos from demolished or rehabilitated structures or buildings as mentioned in special provision 678 (b) (iii), (iv) and (v), shall be carried in a container-bag placed inside a second container-bag of the same type. The total mass of the contained waste shall not exceed 7 tonnes. </w:t>
      </w:r>
    </w:p>
    <w:p w14:paraId="30221174" w14:textId="5DE883BD" w:rsidR="00352DA4" w:rsidRPr="00E56F51" w:rsidRDefault="00352DA4" w:rsidP="00F031C2">
      <w:pPr>
        <w:ind w:left="1440"/>
        <w:rPr>
          <w:rFonts w:ascii="Times New Roman" w:hAnsi="Times New Roman" w:cs="Times New Roman"/>
          <w:sz w:val="20"/>
          <w:szCs w:val="20"/>
          <w:lang w:val="en-US"/>
        </w:rPr>
      </w:pPr>
      <w:r w:rsidRPr="00E56F51">
        <w:rPr>
          <w:rFonts w:ascii="Times New Roman" w:hAnsi="Times New Roman" w:cs="Times New Roman"/>
          <w:sz w:val="20"/>
          <w:szCs w:val="20"/>
        </w:rPr>
        <w:t>In all cases, the maximum mass of the waste shall not exceed the capacity specified by the container-bag manufacturer.”</w:t>
      </w:r>
    </w:p>
    <w:p w14:paraId="2ACC4018" w14:textId="1BFCB856" w:rsidR="00F031C2" w:rsidRPr="00E56F51" w:rsidRDefault="0024524B" w:rsidP="00F031C2">
      <w:pPr>
        <w:rPr>
          <w:rFonts w:ascii="Calibri" w:hAnsi="Calibri" w:cs="Calibri"/>
          <w:u w:val="single"/>
          <w:lang w:val="en-US"/>
        </w:rPr>
      </w:pPr>
      <w:r w:rsidRPr="00E56F51">
        <w:rPr>
          <w:rFonts w:ascii="Calibri" w:hAnsi="Calibri" w:cs="Calibri"/>
          <w:u w:val="single"/>
          <w:lang w:val="en-US"/>
        </w:rPr>
        <w:t>“</w:t>
      </w:r>
      <w:r w:rsidR="00F031C2" w:rsidRPr="00E56F51">
        <w:rPr>
          <w:rFonts w:ascii="Calibri" w:hAnsi="Calibri" w:cs="Calibri"/>
          <w:u w:val="single"/>
          <w:lang w:val="en-US"/>
        </w:rPr>
        <w:t>CV38</w:t>
      </w:r>
      <w:r w:rsidRPr="00E56F51">
        <w:rPr>
          <w:rFonts w:ascii="Calibri" w:hAnsi="Calibri" w:cs="Calibri"/>
          <w:u w:val="single"/>
          <w:lang w:val="en-US"/>
        </w:rPr>
        <w:t>”</w:t>
      </w:r>
      <w:r w:rsidR="00F031C2" w:rsidRPr="00E56F51">
        <w:rPr>
          <w:rFonts w:ascii="Calibri" w:hAnsi="Calibri" w:cs="Calibri"/>
          <w:u w:val="single"/>
          <w:lang w:val="en-US"/>
        </w:rPr>
        <w:t xml:space="preserve"> is a new provision which requires:</w:t>
      </w:r>
    </w:p>
    <w:p w14:paraId="0468D303" w14:textId="37FDE65B" w:rsidR="00F031C2" w:rsidRPr="00E56F51" w:rsidRDefault="00F031C2" w:rsidP="00F031C2">
      <w:pPr>
        <w:ind w:left="1440" w:hanging="1440"/>
        <w:rPr>
          <w:rFonts w:ascii="Times New Roman" w:hAnsi="Times New Roman" w:cs="Times New Roman"/>
          <w:sz w:val="20"/>
          <w:szCs w:val="20"/>
        </w:rPr>
      </w:pPr>
      <w:r w:rsidRPr="00E56F51">
        <w:rPr>
          <w:rFonts w:ascii="Times New Roman" w:hAnsi="Times New Roman" w:cs="Times New Roman"/>
          <w:sz w:val="20"/>
          <w:szCs w:val="20"/>
        </w:rPr>
        <w:t xml:space="preserve">“CV38 </w:t>
      </w:r>
      <w:r w:rsidRPr="00E56F51">
        <w:rPr>
          <w:rFonts w:ascii="Times New Roman" w:hAnsi="Times New Roman" w:cs="Times New Roman"/>
          <w:sz w:val="20"/>
          <w:szCs w:val="20"/>
        </w:rPr>
        <w:tab/>
        <w:t xml:space="preserve">The load compartments shall have no sharp internal edges (internal steps, etc.) capable of tearing container-bags during unloading. They shall be inspected before any loading operation. </w:t>
      </w:r>
    </w:p>
    <w:p w14:paraId="272C81AC" w14:textId="5A3CEA28" w:rsidR="00F031C2" w:rsidRPr="00E56F51" w:rsidRDefault="00F031C2" w:rsidP="00F031C2">
      <w:pPr>
        <w:ind w:left="1440"/>
        <w:rPr>
          <w:rFonts w:ascii="Times New Roman" w:hAnsi="Times New Roman" w:cs="Times New Roman"/>
          <w:sz w:val="20"/>
          <w:szCs w:val="20"/>
        </w:rPr>
      </w:pPr>
      <w:r w:rsidRPr="00E56F51">
        <w:rPr>
          <w:rFonts w:ascii="Times New Roman" w:hAnsi="Times New Roman" w:cs="Times New Roman"/>
          <w:sz w:val="20"/>
          <w:szCs w:val="20"/>
        </w:rPr>
        <w:t xml:space="preserve">The container-bags shall be placed in the load compartments for carriage prior to any filling. The outer </w:t>
      </w:r>
      <w:r w:rsidR="00742B4C" w:rsidRPr="00E56F51">
        <w:rPr>
          <w:rFonts w:ascii="Times New Roman" w:hAnsi="Times New Roman" w:cs="Times New Roman"/>
          <w:sz w:val="20"/>
          <w:szCs w:val="20"/>
        </w:rPr>
        <w:t xml:space="preserve">component </w:t>
      </w:r>
      <w:r w:rsidRPr="00E56F51">
        <w:rPr>
          <w:rFonts w:ascii="Times New Roman" w:hAnsi="Times New Roman" w:cs="Times New Roman"/>
          <w:sz w:val="20"/>
          <w:szCs w:val="20"/>
        </w:rPr>
        <w:t xml:space="preserve">of the container-bags shall be positioned so that the slider of the zipper is placed on the front side of the load compartment when closed. After filling, the container-bags shall be closed in accordance with the manufacturer’s instructions. </w:t>
      </w:r>
    </w:p>
    <w:p w14:paraId="0D43EB08" w14:textId="77777777" w:rsidR="00F031C2" w:rsidRPr="00E56F51" w:rsidRDefault="00F031C2" w:rsidP="00F031C2">
      <w:pPr>
        <w:ind w:left="1440"/>
        <w:rPr>
          <w:rFonts w:ascii="Times New Roman" w:hAnsi="Times New Roman" w:cs="Times New Roman"/>
          <w:sz w:val="20"/>
          <w:szCs w:val="20"/>
        </w:rPr>
      </w:pPr>
      <w:r w:rsidRPr="00E56F51">
        <w:rPr>
          <w:rFonts w:ascii="Times New Roman" w:hAnsi="Times New Roman" w:cs="Times New Roman"/>
          <w:sz w:val="20"/>
          <w:szCs w:val="20"/>
        </w:rPr>
        <w:t xml:space="preserve">Once loaded, the container-bags shall not be lifted or transferred from one load compartment to another. Multiple filled container-bags shall not be loaded into the same load compartment. </w:t>
      </w:r>
    </w:p>
    <w:p w14:paraId="619D639A" w14:textId="024336D0" w:rsidR="00F031C2" w:rsidRPr="00E56F51" w:rsidRDefault="00F031C2" w:rsidP="00F031C2">
      <w:pPr>
        <w:ind w:left="1440"/>
        <w:rPr>
          <w:rFonts w:ascii="Times New Roman" w:hAnsi="Times New Roman" w:cs="Times New Roman"/>
          <w:sz w:val="20"/>
          <w:szCs w:val="20"/>
        </w:rPr>
      </w:pPr>
      <w:r w:rsidRPr="00E56F51">
        <w:rPr>
          <w:rFonts w:ascii="Times New Roman" w:hAnsi="Times New Roman" w:cs="Times New Roman"/>
          <w:sz w:val="20"/>
          <w:szCs w:val="20"/>
        </w:rPr>
        <w:t xml:space="preserve">After any filling operation and after closing, the outer surfaces of the container bags shall be decontaminated. </w:t>
      </w:r>
    </w:p>
    <w:p w14:paraId="078A52B7" w14:textId="6E02F378" w:rsidR="00352DA4" w:rsidRPr="00E56F51" w:rsidRDefault="00F031C2" w:rsidP="00F031C2">
      <w:pPr>
        <w:ind w:left="1440"/>
        <w:rPr>
          <w:rFonts w:ascii="Times New Roman" w:hAnsi="Times New Roman" w:cs="Times New Roman"/>
          <w:sz w:val="20"/>
          <w:szCs w:val="20"/>
          <w:lang w:val="en-US"/>
        </w:rPr>
      </w:pPr>
      <w:r w:rsidRPr="00E56F51">
        <w:rPr>
          <w:rFonts w:ascii="Times New Roman" w:hAnsi="Times New Roman" w:cs="Times New Roman"/>
          <w:sz w:val="20"/>
          <w:szCs w:val="20"/>
        </w:rPr>
        <w:t>Container-bags carried in removable load compartments shall be unloaded with the latter placed on the ground. The unloading of container-bags filled with roadworks waste or with soil contaminated with free asbestos by tipping the load compartment is authorized, provided that an unloading protocol agreed jointly between the carrier and the consignee is respected to prevent the container-bags from tearing during unloading. The protocol shall ensure that the container-bags do not fall or tear during the unloading operation.”</w:t>
      </w:r>
    </w:p>
    <w:p w14:paraId="020429EC" w14:textId="77777777" w:rsidR="00604924" w:rsidRPr="00E56F51" w:rsidRDefault="00604924" w:rsidP="00604924">
      <w:pPr>
        <w:rPr>
          <w:rFonts w:ascii="Calibri" w:hAnsi="Calibri" w:cs="Calibri"/>
          <w:u w:val="single"/>
        </w:rPr>
      </w:pPr>
      <w:r w:rsidRPr="00E56F51">
        <w:rPr>
          <w:rFonts w:ascii="Calibri" w:hAnsi="Calibri" w:cs="Calibri"/>
          <w:u w:val="single"/>
        </w:rPr>
        <w:t>Documentation</w:t>
      </w:r>
    </w:p>
    <w:p w14:paraId="74C8E86C" w14:textId="77777777" w:rsidR="00604924" w:rsidRPr="00E56F51" w:rsidRDefault="00604924" w:rsidP="00604924">
      <w:pPr>
        <w:rPr>
          <w:rFonts w:ascii="Calibri" w:hAnsi="Calibri" w:cs="Calibri"/>
        </w:rPr>
      </w:pPr>
      <w:r w:rsidRPr="00E56F51">
        <w:rPr>
          <w:rFonts w:ascii="Calibri" w:hAnsi="Calibri" w:cs="Calibri"/>
        </w:rPr>
        <w:t xml:space="preserve">In relation to the amendments set out above, 5.4.1.1.4 has been amended to apply the following requirement: </w:t>
      </w:r>
    </w:p>
    <w:p w14:paraId="5A895F16" w14:textId="77777777" w:rsidR="00604924" w:rsidRPr="00E56F51" w:rsidRDefault="00604924" w:rsidP="00604924">
      <w:pPr>
        <w:rPr>
          <w:rFonts w:ascii="Times New Roman" w:hAnsi="Times New Roman" w:cs="Times New Roman"/>
          <w:sz w:val="20"/>
          <w:szCs w:val="20"/>
        </w:rPr>
      </w:pPr>
      <w:r w:rsidRPr="00E56F51">
        <w:rPr>
          <w:rFonts w:ascii="Times New Roman" w:hAnsi="Times New Roman" w:cs="Times New Roman"/>
          <w:sz w:val="20"/>
          <w:szCs w:val="20"/>
        </w:rPr>
        <w:lastRenderedPageBreak/>
        <w:t>“5.4.1.1.4</w:t>
      </w:r>
      <w:r w:rsidRPr="00E56F51">
        <w:rPr>
          <w:rFonts w:ascii="Times New Roman" w:hAnsi="Times New Roman" w:cs="Times New Roman"/>
          <w:sz w:val="20"/>
          <w:szCs w:val="20"/>
        </w:rPr>
        <w:tab/>
      </w:r>
      <w:r w:rsidRPr="00E56F51">
        <w:rPr>
          <w:rFonts w:ascii="Times New Roman" w:hAnsi="Times New Roman" w:cs="Times New Roman"/>
          <w:i/>
          <w:iCs/>
          <w:sz w:val="20"/>
          <w:szCs w:val="20"/>
        </w:rPr>
        <w:t>Special provisions for wastes contaminated with free asbestos (UN Nos. 2212 and 2590)</w:t>
      </w:r>
      <w:r w:rsidRPr="00E56F51">
        <w:rPr>
          <w:rFonts w:ascii="Times New Roman" w:hAnsi="Times New Roman" w:cs="Times New Roman"/>
          <w:sz w:val="20"/>
          <w:szCs w:val="20"/>
        </w:rPr>
        <w:t xml:space="preserve"> </w:t>
      </w:r>
    </w:p>
    <w:p w14:paraId="6311B677" w14:textId="77777777" w:rsidR="00604924" w:rsidRPr="00E56F51" w:rsidRDefault="00604924" w:rsidP="00604924">
      <w:pPr>
        <w:ind w:left="1418"/>
        <w:rPr>
          <w:rFonts w:ascii="Times New Roman" w:hAnsi="Times New Roman" w:cs="Times New Roman"/>
          <w:sz w:val="20"/>
          <w:szCs w:val="20"/>
        </w:rPr>
      </w:pPr>
      <w:r w:rsidRPr="00E56F51">
        <w:rPr>
          <w:rFonts w:ascii="Times New Roman" w:hAnsi="Times New Roman" w:cs="Times New Roman"/>
          <w:sz w:val="20"/>
          <w:szCs w:val="20"/>
        </w:rPr>
        <w:t xml:space="preserve">When special provision 678 of Chapter 3.3 is applied, the following statement shall be included in the transport document "Carriage under special provision 678". </w:t>
      </w:r>
    </w:p>
    <w:p w14:paraId="3991ED84" w14:textId="77777777" w:rsidR="00604924" w:rsidRPr="00E56F51" w:rsidRDefault="00604924" w:rsidP="00604924">
      <w:pPr>
        <w:ind w:left="1418"/>
        <w:rPr>
          <w:rFonts w:ascii="Times New Roman" w:hAnsi="Times New Roman" w:cs="Times New Roman"/>
          <w:sz w:val="20"/>
          <w:szCs w:val="20"/>
        </w:rPr>
      </w:pPr>
      <w:r w:rsidRPr="00E56F51">
        <w:rPr>
          <w:rFonts w:ascii="Times New Roman" w:hAnsi="Times New Roman" w:cs="Times New Roman"/>
          <w:sz w:val="20"/>
          <w:szCs w:val="20"/>
        </w:rPr>
        <w:t xml:space="preserve">The description of wastes carried in accordance with special provision 678 (b) of Chapter 3.3 shall be added to the description of dangerous goods required in 5.4.1.1.1 (a) to (d) and (k). The transport document shall also be accompanied by the following documents: </w:t>
      </w:r>
    </w:p>
    <w:p w14:paraId="2E51A537" w14:textId="77777777" w:rsidR="00604924" w:rsidRPr="00E56F51" w:rsidRDefault="00604924" w:rsidP="00604924">
      <w:pPr>
        <w:ind w:left="2158" w:hanging="740"/>
        <w:rPr>
          <w:rFonts w:ascii="Times New Roman" w:hAnsi="Times New Roman" w:cs="Times New Roman"/>
          <w:sz w:val="20"/>
          <w:szCs w:val="20"/>
        </w:rPr>
      </w:pPr>
      <w:r w:rsidRPr="00E56F51">
        <w:rPr>
          <w:rFonts w:ascii="Times New Roman" w:hAnsi="Times New Roman" w:cs="Times New Roman"/>
          <w:sz w:val="20"/>
          <w:szCs w:val="20"/>
        </w:rPr>
        <w:t xml:space="preserve">(a) </w:t>
      </w:r>
      <w:r w:rsidRPr="00E56F51">
        <w:rPr>
          <w:rFonts w:ascii="Times New Roman" w:hAnsi="Times New Roman" w:cs="Times New Roman"/>
          <w:sz w:val="20"/>
          <w:szCs w:val="20"/>
        </w:rPr>
        <w:tab/>
        <w:t xml:space="preserve">A copy of the technical data sheet for the type of container-bag used, on the </w:t>
      </w:r>
      <w:r w:rsidRPr="00E56F51">
        <w:rPr>
          <w:rFonts w:ascii="Times New Roman" w:hAnsi="Times New Roman" w:cs="Times New Roman"/>
          <w:sz w:val="20"/>
          <w:szCs w:val="20"/>
        </w:rPr>
        <w:tab/>
      </w:r>
      <w:r w:rsidRPr="00E56F51">
        <w:rPr>
          <w:rFonts w:ascii="Times New Roman" w:hAnsi="Times New Roman" w:cs="Times New Roman"/>
          <w:sz w:val="20"/>
          <w:szCs w:val="20"/>
        </w:rPr>
        <w:tab/>
      </w:r>
      <w:proofErr w:type="gramStart"/>
      <w:r w:rsidRPr="00E56F51">
        <w:rPr>
          <w:rFonts w:ascii="Times New Roman" w:hAnsi="Times New Roman" w:cs="Times New Roman"/>
          <w:sz w:val="20"/>
          <w:szCs w:val="20"/>
        </w:rPr>
        <w:t>manufacturer’s</w:t>
      </w:r>
      <w:proofErr w:type="gramEnd"/>
      <w:r w:rsidRPr="00E56F51">
        <w:rPr>
          <w:rFonts w:ascii="Times New Roman" w:hAnsi="Times New Roman" w:cs="Times New Roman"/>
          <w:sz w:val="20"/>
          <w:szCs w:val="20"/>
        </w:rPr>
        <w:t xml:space="preserve"> or distributor’s letterhead, giving the dimensions of the packaging and its maximum mass; </w:t>
      </w:r>
    </w:p>
    <w:p w14:paraId="0D3BF4AB" w14:textId="77777777" w:rsidR="00604924" w:rsidRPr="00E56F51" w:rsidRDefault="00604924" w:rsidP="00604924">
      <w:pPr>
        <w:ind w:left="2158" w:hanging="740"/>
        <w:rPr>
          <w:rFonts w:ascii="Times New Roman" w:hAnsi="Times New Roman" w:cs="Times New Roman"/>
          <w:sz w:val="20"/>
          <w:szCs w:val="20"/>
        </w:rPr>
      </w:pPr>
      <w:r w:rsidRPr="00E56F51">
        <w:rPr>
          <w:rFonts w:ascii="Times New Roman" w:hAnsi="Times New Roman" w:cs="Times New Roman"/>
          <w:sz w:val="20"/>
          <w:szCs w:val="20"/>
        </w:rPr>
        <w:t xml:space="preserve">(b) </w:t>
      </w:r>
      <w:r w:rsidRPr="00E56F51">
        <w:rPr>
          <w:rFonts w:ascii="Times New Roman" w:hAnsi="Times New Roman" w:cs="Times New Roman"/>
          <w:sz w:val="20"/>
          <w:szCs w:val="20"/>
        </w:rPr>
        <w:tab/>
        <w:t>A copy of the unloading procedure in accordance with special provision CV38 of 7.5.11, if applicable.”</w:t>
      </w:r>
    </w:p>
    <w:p w14:paraId="6329E7B1" w14:textId="77777777" w:rsidR="00F94F52" w:rsidRPr="00E56F51" w:rsidRDefault="00F94F52" w:rsidP="00D37452">
      <w:pPr>
        <w:rPr>
          <w:u w:val="single"/>
          <w:lang w:val="en-US"/>
        </w:rPr>
      </w:pPr>
    </w:p>
    <w:p w14:paraId="723A3CA5" w14:textId="7CDA70E4" w:rsidR="002561A8" w:rsidRPr="00E56F51" w:rsidRDefault="002561A8" w:rsidP="00D37452">
      <w:pPr>
        <w:rPr>
          <w:rFonts w:ascii="Calibri" w:hAnsi="Calibri" w:cs="Calibri"/>
          <w:u w:val="single"/>
          <w:lang w:val="en-US"/>
        </w:rPr>
      </w:pPr>
      <w:r w:rsidRPr="00E56F51">
        <w:rPr>
          <w:rFonts w:ascii="Calibri" w:hAnsi="Calibri" w:cs="Calibri"/>
          <w:u w:val="single"/>
          <w:lang w:val="en-US"/>
        </w:rPr>
        <w:t>Interpretation</w:t>
      </w:r>
      <w:r w:rsidR="00604924" w:rsidRPr="00E56F51">
        <w:rPr>
          <w:rFonts w:ascii="Calibri" w:hAnsi="Calibri" w:cs="Calibri"/>
          <w:u w:val="single"/>
          <w:lang w:val="en-US"/>
        </w:rPr>
        <w:t>s</w:t>
      </w:r>
      <w:r w:rsidRPr="00E56F51">
        <w:rPr>
          <w:rFonts w:ascii="Calibri" w:hAnsi="Calibri" w:cs="Calibri"/>
          <w:u w:val="single"/>
          <w:lang w:val="en-US"/>
        </w:rPr>
        <w:t xml:space="preserve"> </w:t>
      </w:r>
      <w:r w:rsidR="00604924" w:rsidRPr="00E56F51">
        <w:rPr>
          <w:rFonts w:ascii="Calibri" w:hAnsi="Calibri" w:cs="Calibri"/>
          <w:u w:val="single"/>
          <w:lang w:val="en-US"/>
        </w:rPr>
        <w:t xml:space="preserve">/ notes on the above requirements </w:t>
      </w:r>
    </w:p>
    <w:p w14:paraId="6AD72014" w14:textId="291550A9" w:rsidR="0063501E" w:rsidRPr="00E56F51" w:rsidRDefault="0063501E" w:rsidP="00D37452">
      <w:pPr>
        <w:rPr>
          <w:rFonts w:ascii="Calibri" w:hAnsi="Calibri" w:cs="Calibri"/>
        </w:rPr>
      </w:pPr>
      <w:r w:rsidRPr="00E56F51">
        <w:rPr>
          <w:rFonts w:ascii="Calibri" w:hAnsi="Calibri" w:cs="Calibri"/>
        </w:rPr>
        <w:t>The</w:t>
      </w:r>
      <w:r w:rsidR="00E6345F" w:rsidRPr="00E56F51">
        <w:rPr>
          <w:rFonts w:ascii="Calibri" w:hAnsi="Calibri" w:cs="Calibri"/>
        </w:rPr>
        <w:t>se provisions allow the bulk carriage of asbestos waste</w:t>
      </w:r>
      <w:r w:rsidR="00604924" w:rsidRPr="00E56F51">
        <w:rPr>
          <w:rFonts w:ascii="Calibri" w:hAnsi="Calibri" w:cs="Calibri"/>
        </w:rPr>
        <w:t xml:space="preserve"> within </w:t>
      </w:r>
      <w:r w:rsidRPr="00E56F51">
        <w:rPr>
          <w:rFonts w:ascii="Calibri" w:hAnsi="Calibri" w:cs="Calibri"/>
        </w:rPr>
        <w:t>container bag(s)</w:t>
      </w:r>
      <w:r w:rsidR="00604924" w:rsidRPr="00E56F51">
        <w:rPr>
          <w:rFonts w:ascii="Calibri" w:hAnsi="Calibri" w:cs="Calibri"/>
        </w:rPr>
        <w:t>. It should be noted that the container bag(s) are n</w:t>
      </w:r>
      <w:r w:rsidRPr="00E56F51">
        <w:rPr>
          <w:rFonts w:ascii="Calibri" w:hAnsi="Calibri" w:cs="Calibri"/>
        </w:rPr>
        <w:t xml:space="preserve">ot </w:t>
      </w:r>
      <w:r w:rsidR="00604924" w:rsidRPr="00E56F51">
        <w:rPr>
          <w:rFonts w:ascii="Calibri" w:hAnsi="Calibri" w:cs="Calibri"/>
        </w:rPr>
        <w:t xml:space="preserve">required to be manufactured to a particular standard or be </w:t>
      </w:r>
      <w:r w:rsidRPr="00E56F51">
        <w:rPr>
          <w:rFonts w:ascii="Calibri" w:hAnsi="Calibri" w:cs="Calibri"/>
        </w:rPr>
        <w:t xml:space="preserve">UN Approved </w:t>
      </w:r>
      <w:r w:rsidR="00604924" w:rsidRPr="00E56F51">
        <w:rPr>
          <w:rFonts w:ascii="Calibri" w:hAnsi="Calibri" w:cs="Calibri"/>
        </w:rPr>
        <w:t>(</w:t>
      </w:r>
      <w:r w:rsidRPr="00E56F51">
        <w:rPr>
          <w:rFonts w:ascii="Calibri" w:hAnsi="Calibri" w:cs="Calibri"/>
        </w:rPr>
        <w:t xml:space="preserve">and </w:t>
      </w:r>
      <w:r w:rsidR="00604924" w:rsidRPr="00E56F51">
        <w:rPr>
          <w:rFonts w:ascii="Calibri" w:hAnsi="Calibri" w:cs="Calibri"/>
        </w:rPr>
        <w:t xml:space="preserve">will not </w:t>
      </w:r>
      <w:r w:rsidRPr="00E56F51">
        <w:rPr>
          <w:rFonts w:ascii="Calibri" w:hAnsi="Calibri" w:cs="Calibri"/>
        </w:rPr>
        <w:t xml:space="preserve">therefore </w:t>
      </w:r>
      <w:r w:rsidR="00604924" w:rsidRPr="00E56F51">
        <w:rPr>
          <w:rFonts w:ascii="Calibri" w:hAnsi="Calibri" w:cs="Calibri"/>
        </w:rPr>
        <w:t>have a packaging code) but they will need to fulfil the requirements set out above. Th</w:t>
      </w:r>
      <w:r w:rsidRPr="00E56F51">
        <w:rPr>
          <w:rFonts w:ascii="Calibri" w:hAnsi="Calibri" w:cs="Calibri"/>
        </w:rPr>
        <w:t>e container bag is not a package</w:t>
      </w:r>
      <w:r w:rsidR="00604924" w:rsidRPr="00E56F51">
        <w:rPr>
          <w:rFonts w:ascii="Calibri" w:hAnsi="Calibri" w:cs="Calibri"/>
        </w:rPr>
        <w:t xml:space="preserve">; </w:t>
      </w:r>
      <w:r w:rsidRPr="00E56F51">
        <w:rPr>
          <w:rFonts w:ascii="Calibri" w:hAnsi="Calibri" w:cs="Calibri"/>
        </w:rPr>
        <w:t>the definition of a package</w:t>
      </w:r>
      <w:r w:rsidR="00604924" w:rsidRPr="00E56F51">
        <w:rPr>
          <w:rFonts w:ascii="Calibri" w:hAnsi="Calibri" w:cs="Calibri"/>
        </w:rPr>
        <w:t xml:space="preserve"> within ADR </w:t>
      </w:r>
      <w:r w:rsidRPr="00E56F51">
        <w:rPr>
          <w:rFonts w:ascii="Calibri" w:hAnsi="Calibri" w:cs="Calibri"/>
        </w:rPr>
        <w:t>does not apply to goods that are carried in bulk</w:t>
      </w:r>
      <w:r w:rsidR="00604924" w:rsidRPr="00E56F51">
        <w:rPr>
          <w:rFonts w:ascii="Calibri" w:hAnsi="Calibri" w:cs="Calibri"/>
        </w:rPr>
        <w:t xml:space="preserve"> (</w:t>
      </w:r>
      <w:r w:rsidR="00D47F9C" w:rsidRPr="00E56F51">
        <w:rPr>
          <w:rFonts w:ascii="Calibri" w:hAnsi="Calibri" w:cs="Calibri"/>
        </w:rPr>
        <w:t>see definition of package in ADR 1.2</w:t>
      </w:r>
      <w:r w:rsidR="00604924" w:rsidRPr="00E56F51">
        <w:rPr>
          <w:rFonts w:ascii="Calibri" w:hAnsi="Calibri" w:cs="Calibri"/>
        </w:rPr>
        <w:t>)</w:t>
      </w:r>
      <w:r w:rsidRPr="00E56F51">
        <w:rPr>
          <w:rFonts w:ascii="Calibri" w:hAnsi="Calibri" w:cs="Calibri"/>
        </w:rPr>
        <w:t>.</w:t>
      </w:r>
    </w:p>
    <w:p w14:paraId="40C4467F" w14:textId="3D3D5C8F" w:rsidR="0036191D" w:rsidRPr="00E56F51" w:rsidRDefault="00D47F9C" w:rsidP="00D47F9C">
      <w:pPr>
        <w:rPr>
          <w:rFonts w:ascii="Calibri" w:hAnsi="Calibri" w:cs="Calibri"/>
        </w:rPr>
      </w:pPr>
      <w:r w:rsidRPr="00E56F51">
        <w:rPr>
          <w:rFonts w:ascii="Calibri" w:hAnsi="Calibri" w:cs="Calibri"/>
        </w:rPr>
        <w:t>To fulfil the above requirements t</w:t>
      </w:r>
      <w:r w:rsidR="0063501E" w:rsidRPr="00E56F51">
        <w:rPr>
          <w:rFonts w:ascii="Calibri" w:hAnsi="Calibri" w:cs="Calibri"/>
        </w:rPr>
        <w:t>he</w:t>
      </w:r>
      <w:r w:rsidRPr="00E56F51">
        <w:rPr>
          <w:rFonts w:ascii="Calibri" w:hAnsi="Calibri" w:cs="Calibri"/>
        </w:rPr>
        <w:t xml:space="preserve"> consignor,</w:t>
      </w:r>
      <w:r w:rsidR="0063501E" w:rsidRPr="00E56F51">
        <w:rPr>
          <w:rFonts w:ascii="Calibri" w:hAnsi="Calibri" w:cs="Calibri"/>
        </w:rPr>
        <w:t xml:space="preserve"> filler and the carrier must ensure the technical </w:t>
      </w:r>
      <w:r w:rsidRPr="00E56F51">
        <w:rPr>
          <w:rFonts w:ascii="Calibri" w:hAnsi="Calibri" w:cs="Calibri"/>
        </w:rPr>
        <w:t xml:space="preserve">data sheet </w:t>
      </w:r>
      <w:r w:rsidR="0063501E" w:rsidRPr="00E56F51">
        <w:rPr>
          <w:rFonts w:ascii="Calibri" w:hAnsi="Calibri" w:cs="Calibri"/>
        </w:rPr>
        <w:t xml:space="preserve">provided by the manufacturer </w:t>
      </w:r>
      <w:r w:rsidR="007D0353" w:rsidRPr="00E56F51">
        <w:rPr>
          <w:rFonts w:ascii="Calibri" w:hAnsi="Calibri" w:cs="Calibri"/>
        </w:rPr>
        <w:t xml:space="preserve">for the </w:t>
      </w:r>
      <w:r w:rsidR="0063501E" w:rsidRPr="00E56F51">
        <w:rPr>
          <w:rFonts w:ascii="Calibri" w:hAnsi="Calibri" w:cs="Calibri"/>
        </w:rPr>
        <w:t xml:space="preserve">container-bag </w:t>
      </w:r>
      <w:r w:rsidR="007D0353" w:rsidRPr="00E56F51">
        <w:rPr>
          <w:rFonts w:ascii="Calibri" w:hAnsi="Calibri" w:cs="Calibri"/>
        </w:rPr>
        <w:t xml:space="preserve">allows the use of the bag </w:t>
      </w:r>
      <w:r w:rsidR="00604924" w:rsidRPr="00E56F51">
        <w:rPr>
          <w:rFonts w:ascii="Calibri" w:hAnsi="Calibri" w:cs="Calibri"/>
        </w:rPr>
        <w:t xml:space="preserve">for the </w:t>
      </w:r>
      <w:r w:rsidR="0036191D" w:rsidRPr="00E56F51">
        <w:rPr>
          <w:rFonts w:ascii="Calibri" w:hAnsi="Calibri" w:cs="Calibri"/>
        </w:rPr>
        <w:t>transport operation</w:t>
      </w:r>
      <w:r w:rsidR="007D0353" w:rsidRPr="00E56F51">
        <w:rPr>
          <w:rFonts w:ascii="Calibri" w:hAnsi="Calibri" w:cs="Calibri"/>
        </w:rPr>
        <w:t xml:space="preserve"> in question</w:t>
      </w:r>
      <w:r w:rsidR="0036191D" w:rsidRPr="00E56F51">
        <w:rPr>
          <w:rFonts w:ascii="Calibri" w:hAnsi="Calibri" w:cs="Calibri"/>
        </w:rPr>
        <w:t xml:space="preserve">. </w:t>
      </w:r>
      <w:r w:rsidR="007D0353" w:rsidRPr="00E56F51">
        <w:rPr>
          <w:rFonts w:ascii="Calibri" w:hAnsi="Calibri" w:cs="Calibri"/>
        </w:rPr>
        <w:t>In this respect, c</w:t>
      </w:r>
      <w:r w:rsidR="0036191D" w:rsidRPr="00E56F51">
        <w:rPr>
          <w:rFonts w:ascii="Calibri" w:hAnsi="Calibri" w:cs="Calibri"/>
        </w:rPr>
        <w:t xml:space="preserve">onsideration </w:t>
      </w:r>
      <w:r w:rsidR="00604924" w:rsidRPr="00E56F51">
        <w:rPr>
          <w:rFonts w:ascii="Calibri" w:hAnsi="Calibri" w:cs="Calibri"/>
        </w:rPr>
        <w:t xml:space="preserve">should be given to the </w:t>
      </w:r>
      <w:r w:rsidR="00EF08D6" w:rsidRPr="00E56F51">
        <w:rPr>
          <w:rFonts w:ascii="Calibri" w:hAnsi="Calibri" w:cs="Calibri"/>
        </w:rPr>
        <w:t>properties of the polypropylene</w:t>
      </w:r>
      <w:r w:rsidR="007D0353" w:rsidRPr="00E56F51">
        <w:rPr>
          <w:rFonts w:ascii="Calibri" w:hAnsi="Calibri" w:cs="Calibri"/>
        </w:rPr>
        <w:t xml:space="preserve"> outer component of the container-bag, and particularly </w:t>
      </w:r>
      <w:r w:rsidR="00EF08D6" w:rsidRPr="00E56F51">
        <w:rPr>
          <w:rFonts w:ascii="Calibri" w:hAnsi="Calibri" w:cs="Calibri"/>
        </w:rPr>
        <w:t xml:space="preserve">its </w:t>
      </w:r>
      <w:r w:rsidR="0036191D" w:rsidRPr="00E56F51">
        <w:rPr>
          <w:rFonts w:ascii="Calibri" w:hAnsi="Calibri" w:cs="Calibri"/>
        </w:rPr>
        <w:t xml:space="preserve">density per square meter. </w:t>
      </w:r>
      <w:r w:rsidR="00EF08D6" w:rsidRPr="00E56F51">
        <w:rPr>
          <w:rFonts w:ascii="Calibri" w:hAnsi="Calibri" w:cs="Calibri"/>
        </w:rPr>
        <w:t xml:space="preserve">Polypropylene having a higher density </w:t>
      </w:r>
      <w:r w:rsidR="007D0353" w:rsidRPr="00E56F51">
        <w:rPr>
          <w:rFonts w:ascii="Calibri" w:hAnsi="Calibri" w:cs="Calibri"/>
        </w:rPr>
        <w:t xml:space="preserve">per square metre </w:t>
      </w:r>
      <w:r w:rsidR="00EF08D6" w:rsidRPr="00E56F51">
        <w:rPr>
          <w:rFonts w:ascii="Calibri" w:hAnsi="Calibri" w:cs="Calibri"/>
        </w:rPr>
        <w:t xml:space="preserve">is likely to </w:t>
      </w:r>
      <w:r w:rsidR="007D0353" w:rsidRPr="00E56F51">
        <w:rPr>
          <w:rFonts w:ascii="Calibri" w:hAnsi="Calibri" w:cs="Calibri"/>
        </w:rPr>
        <w:t xml:space="preserve">be more resistant to </w:t>
      </w:r>
      <w:r w:rsidR="0036191D" w:rsidRPr="00E56F51">
        <w:rPr>
          <w:rFonts w:ascii="Calibri" w:hAnsi="Calibri" w:cs="Calibri"/>
        </w:rPr>
        <w:t xml:space="preserve">damage or tears during </w:t>
      </w:r>
      <w:r w:rsidR="0024524B" w:rsidRPr="00E56F51">
        <w:rPr>
          <w:rFonts w:ascii="Calibri" w:hAnsi="Calibri" w:cs="Calibri"/>
        </w:rPr>
        <w:t xml:space="preserve">either </w:t>
      </w:r>
      <w:r w:rsidR="0036191D" w:rsidRPr="00E56F51">
        <w:rPr>
          <w:rFonts w:ascii="Calibri" w:hAnsi="Calibri" w:cs="Calibri"/>
        </w:rPr>
        <w:t xml:space="preserve">loading </w:t>
      </w:r>
      <w:r w:rsidR="007D0353" w:rsidRPr="00E56F51">
        <w:rPr>
          <w:rFonts w:ascii="Calibri" w:hAnsi="Calibri" w:cs="Calibri"/>
        </w:rPr>
        <w:t xml:space="preserve">or </w:t>
      </w:r>
      <w:r w:rsidR="0036191D" w:rsidRPr="00E56F51">
        <w:rPr>
          <w:rFonts w:ascii="Calibri" w:hAnsi="Calibri" w:cs="Calibri"/>
        </w:rPr>
        <w:t xml:space="preserve">removal of the bag from the </w:t>
      </w:r>
      <w:r w:rsidRPr="00E56F51">
        <w:rPr>
          <w:rFonts w:ascii="Calibri" w:hAnsi="Calibri" w:cs="Calibri"/>
        </w:rPr>
        <w:t>bulk container</w:t>
      </w:r>
      <w:r w:rsidR="0036191D" w:rsidRPr="00E56F51">
        <w:rPr>
          <w:rFonts w:ascii="Calibri" w:hAnsi="Calibri" w:cs="Calibri"/>
        </w:rPr>
        <w:t>.</w:t>
      </w:r>
    </w:p>
    <w:p w14:paraId="2AFFA5BD" w14:textId="367CDAE3" w:rsidR="0099456D" w:rsidRPr="00E56F51" w:rsidRDefault="0099456D" w:rsidP="0099456D">
      <w:pPr>
        <w:rPr>
          <w:rFonts w:ascii="Calibri" w:hAnsi="Calibri" w:cs="Calibri"/>
        </w:rPr>
      </w:pPr>
      <w:r w:rsidRPr="00E56F51">
        <w:rPr>
          <w:rFonts w:ascii="Calibri" w:hAnsi="Calibri" w:cs="Calibri"/>
        </w:rPr>
        <w:t xml:space="preserve">The inner component of the container bags is required to be dust-tight and therefore, they cannot be used for any large items that could protrude from the confines of the bag and result in the zipper system not being able to be drawn completely closed.                                                                                                                                                                                                                                                                                                                                                                                                                                                                                                                                                                                                                                                                                                                                                                                                                                                                                                                                                                                                                                                                                                                                                                                                                                                                                                                                                                                                                                                                                                                                                                                                                                                                                                                                                                                                                                                                                                                                                                                                                                                   </w:t>
      </w:r>
    </w:p>
    <w:p w14:paraId="62F4D527" w14:textId="4FE65AE9" w:rsidR="0063501E" w:rsidRPr="00E56F51" w:rsidRDefault="007D0353" w:rsidP="00D37452">
      <w:pPr>
        <w:rPr>
          <w:rFonts w:ascii="Calibri" w:hAnsi="Calibri" w:cs="Calibri"/>
        </w:rPr>
      </w:pPr>
      <w:r w:rsidRPr="00E56F51">
        <w:rPr>
          <w:rFonts w:ascii="Calibri" w:hAnsi="Calibri" w:cs="Calibri"/>
        </w:rPr>
        <w:t xml:space="preserve">The walls </w:t>
      </w:r>
      <w:r w:rsidR="0099456D" w:rsidRPr="00E56F51">
        <w:rPr>
          <w:rFonts w:ascii="Calibri" w:hAnsi="Calibri" w:cs="Calibri"/>
        </w:rPr>
        <w:t xml:space="preserve">of the bulk container must </w:t>
      </w:r>
      <w:r w:rsidRPr="00E56F51">
        <w:rPr>
          <w:rFonts w:ascii="Calibri" w:hAnsi="Calibri" w:cs="Calibri"/>
        </w:rPr>
        <w:t>be sufficiently high to completely contain the container-bag.</w:t>
      </w:r>
      <w:r w:rsidR="0099456D" w:rsidRPr="00E56F51">
        <w:rPr>
          <w:rFonts w:ascii="Calibri" w:hAnsi="Calibri" w:cs="Calibri"/>
        </w:rPr>
        <w:t xml:space="preserve"> </w:t>
      </w:r>
      <w:r w:rsidR="00D47F9C" w:rsidRPr="00E56F51">
        <w:rPr>
          <w:rFonts w:ascii="Calibri" w:hAnsi="Calibri" w:cs="Calibri"/>
        </w:rPr>
        <w:t xml:space="preserve">In our view this means the </w:t>
      </w:r>
      <w:r w:rsidR="0063501E" w:rsidRPr="00E56F51">
        <w:rPr>
          <w:rFonts w:ascii="Calibri" w:hAnsi="Calibri" w:cs="Calibri"/>
        </w:rPr>
        <w:t xml:space="preserve">rigid walls of </w:t>
      </w:r>
      <w:r w:rsidR="00D47F9C" w:rsidRPr="00E56F51">
        <w:rPr>
          <w:rFonts w:ascii="Calibri" w:hAnsi="Calibri" w:cs="Calibri"/>
        </w:rPr>
        <w:t xml:space="preserve">the bulk container </w:t>
      </w:r>
      <w:r w:rsidR="0063501E" w:rsidRPr="00E56F51">
        <w:rPr>
          <w:rFonts w:ascii="Calibri" w:hAnsi="Calibri" w:cs="Calibri"/>
        </w:rPr>
        <w:t>must be high</w:t>
      </w:r>
      <w:r w:rsidR="0099456D" w:rsidRPr="00E56F51">
        <w:rPr>
          <w:rFonts w:ascii="Calibri" w:hAnsi="Calibri" w:cs="Calibri"/>
        </w:rPr>
        <w:t xml:space="preserve">er than </w:t>
      </w:r>
      <w:r w:rsidR="0063501E" w:rsidRPr="00E56F51">
        <w:rPr>
          <w:rFonts w:ascii="Calibri" w:hAnsi="Calibri" w:cs="Calibri"/>
        </w:rPr>
        <w:t xml:space="preserve">entire container bag when the bag is loaded. </w:t>
      </w:r>
    </w:p>
    <w:p w14:paraId="0B8062BD" w14:textId="15B30EA4" w:rsidR="0063501E" w:rsidRPr="00E56F51" w:rsidRDefault="0099456D" w:rsidP="00D37452">
      <w:pPr>
        <w:rPr>
          <w:rFonts w:ascii="Calibri" w:hAnsi="Calibri" w:cs="Calibri"/>
        </w:rPr>
      </w:pPr>
      <w:r w:rsidRPr="00E56F51">
        <w:rPr>
          <w:rFonts w:ascii="Calibri" w:hAnsi="Calibri" w:cs="Calibri"/>
        </w:rPr>
        <w:t xml:space="preserve">We believe the intention of these provisions is that the container bag should be a single use containment system, and it was thought the </w:t>
      </w:r>
      <w:r w:rsidR="00D9715F" w:rsidRPr="00E56F51">
        <w:rPr>
          <w:rFonts w:ascii="Calibri" w:hAnsi="Calibri" w:cs="Calibri"/>
        </w:rPr>
        <w:t xml:space="preserve">preferred method </w:t>
      </w:r>
      <w:r w:rsidR="003C0131" w:rsidRPr="00E56F51">
        <w:rPr>
          <w:rFonts w:ascii="Calibri" w:hAnsi="Calibri" w:cs="Calibri"/>
        </w:rPr>
        <w:t xml:space="preserve">of </w:t>
      </w:r>
      <w:r w:rsidR="0063501E" w:rsidRPr="00E56F51">
        <w:rPr>
          <w:rFonts w:ascii="Calibri" w:hAnsi="Calibri" w:cs="Calibri"/>
        </w:rPr>
        <w:t>load</w:t>
      </w:r>
      <w:r w:rsidR="003C0131" w:rsidRPr="00E56F51">
        <w:rPr>
          <w:rFonts w:ascii="Calibri" w:hAnsi="Calibri" w:cs="Calibri"/>
        </w:rPr>
        <w:t xml:space="preserve">ing </w:t>
      </w:r>
      <w:r w:rsidRPr="00E56F51">
        <w:rPr>
          <w:rFonts w:ascii="Calibri" w:hAnsi="Calibri" w:cs="Calibri"/>
        </w:rPr>
        <w:t>the container bags would be b</w:t>
      </w:r>
      <w:r w:rsidR="003C0131" w:rsidRPr="00E56F51">
        <w:rPr>
          <w:rFonts w:ascii="Calibri" w:hAnsi="Calibri" w:cs="Calibri"/>
        </w:rPr>
        <w:t xml:space="preserve">y </w:t>
      </w:r>
      <w:r w:rsidR="0063501E" w:rsidRPr="00E56F51">
        <w:rPr>
          <w:rFonts w:ascii="Calibri" w:hAnsi="Calibri" w:cs="Calibri"/>
        </w:rPr>
        <w:t xml:space="preserve">mechanical means. </w:t>
      </w:r>
      <w:r w:rsidR="0024524B" w:rsidRPr="00E56F51">
        <w:rPr>
          <w:rFonts w:ascii="Calibri" w:hAnsi="Calibri" w:cs="Calibri"/>
        </w:rPr>
        <w:t>T</w:t>
      </w:r>
      <w:r w:rsidRPr="00E56F51">
        <w:rPr>
          <w:rFonts w:ascii="Calibri" w:hAnsi="Calibri" w:cs="Calibri"/>
        </w:rPr>
        <w:t xml:space="preserve">he total mass of the contained waste must not exceed </w:t>
      </w:r>
      <w:r w:rsidR="0063501E" w:rsidRPr="00E56F51">
        <w:rPr>
          <w:rFonts w:ascii="Calibri" w:hAnsi="Calibri" w:cs="Calibri"/>
        </w:rPr>
        <w:t>7,000 Kgs</w:t>
      </w:r>
      <w:r w:rsidR="003C0131" w:rsidRPr="00E56F51">
        <w:rPr>
          <w:rFonts w:ascii="Calibri" w:hAnsi="Calibri" w:cs="Calibri"/>
        </w:rPr>
        <w:t>, e</w:t>
      </w:r>
      <w:r w:rsidR="0063501E" w:rsidRPr="00E56F51">
        <w:rPr>
          <w:rFonts w:ascii="Calibri" w:hAnsi="Calibri" w:cs="Calibri"/>
        </w:rPr>
        <w:t xml:space="preserve">ven though the bag may </w:t>
      </w:r>
      <w:r w:rsidR="003C0131" w:rsidRPr="00E56F51">
        <w:rPr>
          <w:rFonts w:ascii="Calibri" w:hAnsi="Calibri" w:cs="Calibri"/>
        </w:rPr>
        <w:t xml:space="preserve">have a greater </w:t>
      </w:r>
      <w:r w:rsidRPr="00E56F51">
        <w:rPr>
          <w:rFonts w:ascii="Calibri" w:hAnsi="Calibri" w:cs="Calibri"/>
        </w:rPr>
        <w:t xml:space="preserve">mass or volume </w:t>
      </w:r>
      <w:r w:rsidR="003C0131" w:rsidRPr="00E56F51">
        <w:rPr>
          <w:rFonts w:ascii="Calibri" w:hAnsi="Calibri" w:cs="Calibri"/>
        </w:rPr>
        <w:t>capa</w:t>
      </w:r>
      <w:r w:rsidRPr="00E56F51">
        <w:rPr>
          <w:rFonts w:ascii="Calibri" w:hAnsi="Calibri" w:cs="Calibri"/>
        </w:rPr>
        <w:t>bility</w:t>
      </w:r>
      <w:r w:rsidR="0063501E" w:rsidRPr="00E56F51">
        <w:rPr>
          <w:rFonts w:ascii="Calibri" w:hAnsi="Calibri" w:cs="Calibri"/>
        </w:rPr>
        <w:t>.</w:t>
      </w:r>
    </w:p>
    <w:p w14:paraId="6ABBB3F7" w14:textId="77777777" w:rsidR="0063501E" w:rsidRPr="00E56F51" w:rsidRDefault="0063501E" w:rsidP="00D37452">
      <w:pPr>
        <w:rPr>
          <w:lang w:val="en-US"/>
        </w:rPr>
      </w:pPr>
    </w:p>
    <w:sectPr w:rsidR="0063501E" w:rsidRPr="00E56F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01E"/>
    <w:rsid w:val="00192A9C"/>
    <w:rsid w:val="00223B27"/>
    <w:rsid w:val="0024524B"/>
    <w:rsid w:val="002561A8"/>
    <w:rsid w:val="00352DA4"/>
    <w:rsid w:val="0036191D"/>
    <w:rsid w:val="003C0131"/>
    <w:rsid w:val="003F6C44"/>
    <w:rsid w:val="004A7306"/>
    <w:rsid w:val="00604924"/>
    <w:rsid w:val="00623652"/>
    <w:rsid w:val="0063501E"/>
    <w:rsid w:val="006E5FC3"/>
    <w:rsid w:val="00742B4C"/>
    <w:rsid w:val="007808DB"/>
    <w:rsid w:val="007D0353"/>
    <w:rsid w:val="007D67B1"/>
    <w:rsid w:val="00930844"/>
    <w:rsid w:val="0099456D"/>
    <w:rsid w:val="00C904B2"/>
    <w:rsid w:val="00CC2238"/>
    <w:rsid w:val="00D37452"/>
    <w:rsid w:val="00D47F9C"/>
    <w:rsid w:val="00D9715F"/>
    <w:rsid w:val="00E56F51"/>
    <w:rsid w:val="00E6345F"/>
    <w:rsid w:val="00EF08D6"/>
    <w:rsid w:val="00F031C2"/>
    <w:rsid w:val="00F252D1"/>
    <w:rsid w:val="00F94F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2888B"/>
  <w15:chartTrackingRefBased/>
  <w15:docId w15:val="{C981EA10-94F3-4F75-AC8A-B541057B9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50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50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50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50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50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50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50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50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50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0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50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50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50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50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50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50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50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501E"/>
    <w:rPr>
      <w:rFonts w:eastAsiaTheme="majorEastAsia" w:cstheme="majorBidi"/>
      <w:color w:val="272727" w:themeColor="text1" w:themeTint="D8"/>
    </w:rPr>
  </w:style>
  <w:style w:type="paragraph" w:styleId="Title">
    <w:name w:val="Title"/>
    <w:basedOn w:val="Normal"/>
    <w:next w:val="Normal"/>
    <w:link w:val="TitleChar"/>
    <w:uiPriority w:val="10"/>
    <w:qFormat/>
    <w:rsid w:val="006350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50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50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50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501E"/>
    <w:pPr>
      <w:spacing w:before="160"/>
      <w:jc w:val="center"/>
    </w:pPr>
    <w:rPr>
      <w:i/>
      <w:iCs/>
      <w:color w:val="404040" w:themeColor="text1" w:themeTint="BF"/>
    </w:rPr>
  </w:style>
  <w:style w:type="character" w:customStyle="1" w:styleId="QuoteChar">
    <w:name w:val="Quote Char"/>
    <w:basedOn w:val="DefaultParagraphFont"/>
    <w:link w:val="Quote"/>
    <w:uiPriority w:val="29"/>
    <w:rsid w:val="0063501E"/>
    <w:rPr>
      <w:i/>
      <w:iCs/>
      <w:color w:val="404040" w:themeColor="text1" w:themeTint="BF"/>
    </w:rPr>
  </w:style>
  <w:style w:type="paragraph" w:styleId="ListParagraph">
    <w:name w:val="List Paragraph"/>
    <w:basedOn w:val="Normal"/>
    <w:uiPriority w:val="34"/>
    <w:qFormat/>
    <w:rsid w:val="0063501E"/>
    <w:pPr>
      <w:ind w:left="720"/>
      <w:contextualSpacing/>
    </w:pPr>
  </w:style>
  <w:style w:type="character" w:styleId="IntenseEmphasis">
    <w:name w:val="Intense Emphasis"/>
    <w:basedOn w:val="DefaultParagraphFont"/>
    <w:uiPriority w:val="21"/>
    <w:qFormat/>
    <w:rsid w:val="0063501E"/>
    <w:rPr>
      <w:i/>
      <w:iCs/>
      <w:color w:val="0F4761" w:themeColor="accent1" w:themeShade="BF"/>
    </w:rPr>
  </w:style>
  <w:style w:type="paragraph" w:styleId="IntenseQuote">
    <w:name w:val="Intense Quote"/>
    <w:basedOn w:val="Normal"/>
    <w:next w:val="Normal"/>
    <w:link w:val="IntenseQuoteChar"/>
    <w:uiPriority w:val="30"/>
    <w:qFormat/>
    <w:rsid w:val="006350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501E"/>
    <w:rPr>
      <w:i/>
      <w:iCs/>
      <w:color w:val="0F4761" w:themeColor="accent1" w:themeShade="BF"/>
    </w:rPr>
  </w:style>
  <w:style w:type="character" w:styleId="IntenseReference">
    <w:name w:val="Intense Reference"/>
    <w:basedOn w:val="DefaultParagraphFont"/>
    <w:uiPriority w:val="32"/>
    <w:qFormat/>
    <w:rsid w:val="0063501E"/>
    <w:rPr>
      <w:b/>
      <w:bCs/>
      <w:smallCaps/>
      <w:color w:val="0F4761" w:themeColor="accent1" w:themeShade="BF"/>
      <w:spacing w:val="5"/>
    </w:rPr>
  </w:style>
  <w:style w:type="table" w:styleId="TableGrid">
    <w:name w:val="Table Grid"/>
    <w:basedOn w:val="TableNormal"/>
    <w:uiPriority w:val="39"/>
    <w:rsid w:val="00F94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9573497">
      <w:bodyDiv w:val="1"/>
      <w:marLeft w:val="0"/>
      <w:marRight w:val="0"/>
      <w:marTop w:val="0"/>
      <w:marBottom w:val="0"/>
      <w:divBdr>
        <w:top w:val="none" w:sz="0" w:space="0" w:color="auto"/>
        <w:left w:val="none" w:sz="0" w:space="0" w:color="auto"/>
        <w:bottom w:val="none" w:sz="0" w:space="0" w:color="auto"/>
        <w:right w:val="none" w:sz="0" w:space="0" w:color="auto"/>
      </w:divBdr>
    </w:div>
    <w:div w:id="181174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1598</Words>
  <Characters>9115</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Adams</dc:creator>
  <cp:keywords/>
  <dc:description/>
  <cp:lastModifiedBy>Alastair Goodall</cp:lastModifiedBy>
  <cp:revision>2</cp:revision>
  <dcterms:created xsi:type="dcterms:W3CDTF">2024-10-07T15:33:00Z</dcterms:created>
  <dcterms:modified xsi:type="dcterms:W3CDTF">2024-10-07T15:33:00Z</dcterms:modified>
</cp:coreProperties>
</file>